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4430" w14:textId="77777777" w:rsidR="00075296" w:rsidRPr="00075296" w:rsidRDefault="00075296" w:rsidP="00C03C7F">
      <w:pPr>
        <w:rPr>
          <w:rFonts w:ascii="Arial" w:hAnsi="Arial" w:cs="Arial"/>
        </w:rPr>
      </w:pPr>
      <w:r w:rsidRPr="00075296">
        <w:t xml:space="preserve">In compliance with the Drug Free Schools and Communities Act, this serves as the University of New Haven's annual notification to each employee and student, in writing, of standards of conduct; description of appropriate sanctions for violation of federal, state, and local law and campus policy; description of health risks associated with AOD use; and description of available treatment programs. </w:t>
      </w:r>
      <w:r w:rsidRPr="00075296">
        <w:br/>
        <w:t> </w:t>
      </w:r>
      <w:r w:rsidRPr="00075296">
        <w:rPr>
          <w:rFonts w:ascii="Arial" w:hAnsi="Arial" w:cs="Arial"/>
        </w:rPr>
        <w:t> </w:t>
      </w:r>
    </w:p>
    <w:p w14:paraId="4507B2C3" w14:textId="77777777" w:rsidR="00075296" w:rsidRPr="00075296" w:rsidRDefault="00747185" w:rsidP="00075296">
      <w:pPr>
        <w:spacing w:after="150" w:line="285" w:lineRule="atLeast"/>
        <w:jc w:val="center"/>
        <w:rPr>
          <w:rFonts w:ascii="Arial" w:hAnsi="Arial" w:cs="Arial"/>
        </w:rPr>
      </w:pPr>
      <w:r>
        <w:rPr>
          <w:rFonts w:ascii="Arial" w:hAnsi="Arial" w:cs="Arial"/>
          <w:noProof/>
        </w:rPr>
        <w:drawing>
          <wp:inline distT="0" distB="0" distL="0" distR="0" wp14:anchorId="5A8218A4" wp14:editId="4BF842A4">
            <wp:extent cx="1247775" cy="107655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h_sig_seal_stacked_28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6733" cy="1084279"/>
                    </a:xfrm>
                    <a:prstGeom prst="rect">
                      <a:avLst/>
                    </a:prstGeom>
                  </pic:spPr>
                </pic:pic>
              </a:graphicData>
            </a:graphic>
          </wp:inline>
        </w:drawing>
      </w:r>
    </w:p>
    <w:p w14:paraId="5361CE10" w14:textId="77777777" w:rsidR="00075296" w:rsidRPr="00075296" w:rsidRDefault="00075296" w:rsidP="00075296">
      <w:pPr>
        <w:spacing w:after="150" w:line="285" w:lineRule="atLeast"/>
        <w:rPr>
          <w:rFonts w:ascii="Arial" w:hAnsi="Arial" w:cs="Arial"/>
        </w:rPr>
      </w:pPr>
    </w:p>
    <w:p w14:paraId="6A2B12E0" w14:textId="77777777" w:rsidR="00075296" w:rsidRPr="00075296" w:rsidRDefault="00075296" w:rsidP="00075296">
      <w:pPr>
        <w:spacing w:after="150" w:line="285" w:lineRule="atLeast"/>
        <w:jc w:val="center"/>
        <w:rPr>
          <w:rFonts w:ascii="Arial" w:hAnsi="Arial" w:cs="Arial"/>
          <w:b/>
          <w:bCs/>
        </w:rPr>
      </w:pPr>
      <w:r w:rsidRPr="00075296">
        <w:rPr>
          <w:rFonts w:ascii="Arial" w:hAnsi="Arial" w:cs="Arial"/>
          <w:b/>
          <w:bCs/>
        </w:rPr>
        <w:t>UNIVERSITY COMMITMENT TO A DRUG-FREE ENVIRONMENT STATEMENT</w:t>
      </w:r>
    </w:p>
    <w:p w14:paraId="11801E21" w14:textId="5B967DE9" w:rsidR="00075296" w:rsidRPr="00075296" w:rsidRDefault="00075296" w:rsidP="00075296">
      <w:pPr>
        <w:spacing w:after="150" w:line="285" w:lineRule="atLeast"/>
        <w:rPr>
          <w:rFonts w:ascii="Arial" w:hAnsi="Arial" w:cs="Arial"/>
        </w:rPr>
      </w:pPr>
      <w:r w:rsidRPr="00075296">
        <w:rPr>
          <w:rFonts w:ascii="Arial" w:hAnsi="Arial" w:cs="Arial"/>
        </w:rPr>
        <w:br/>
      </w:r>
      <w:r w:rsidRPr="00075296">
        <w:rPr>
          <w:rFonts w:ascii="Arial" w:hAnsi="Arial" w:cs="Arial"/>
          <w:b/>
          <w:bCs/>
          <w:u w:val="single"/>
        </w:rPr>
        <w:t>Drug-Free and Smoke-Free Environment</w:t>
      </w:r>
      <w:r w:rsidRPr="00075296">
        <w:rPr>
          <w:rFonts w:ascii="Arial" w:hAnsi="Arial" w:cs="Arial"/>
        </w:rPr>
        <w:t xml:space="preserve"> </w:t>
      </w:r>
      <w:r w:rsidRPr="00075296">
        <w:rPr>
          <w:rFonts w:ascii="Arial" w:hAnsi="Arial" w:cs="Arial"/>
        </w:rPr>
        <w:br/>
        <w:t>In accordance with federal law concerning a DRUG-</w:t>
      </w:r>
      <w:r w:rsidRPr="00075296">
        <w:rPr>
          <w:rFonts w:ascii="Arial" w:hAnsi="Arial" w:cs="Arial"/>
        </w:rPr>
        <w:softHyphen/>
        <w:t>FREE campus environment, the relevant university policy and regulations are provided to all current student</w:t>
      </w:r>
      <w:r w:rsidR="00755253">
        <w:rPr>
          <w:rFonts w:ascii="Arial" w:hAnsi="Arial" w:cs="Arial"/>
        </w:rPr>
        <w:t>s and</w:t>
      </w:r>
      <w:r w:rsidRPr="00075296">
        <w:rPr>
          <w:rFonts w:ascii="Arial" w:hAnsi="Arial" w:cs="Arial"/>
        </w:rPr>
        <w:t xml:space="preserve"> </w:t>
      </w:r>
      <w:r w:rsidR="00D76B1C">
        <w:rPr>
          <w:rFonts w:ascii="Arial" w:hAnsi="Arial" w:cs="Arial"/>
        </w:rPr>
        <w:t>faculty/staff (</w:t>
      </w:r>
      <w:r w:rsidRPr="00075296">
        <w:rPr>
          <w:rFonts w:ascii="Arial" w:hAnsi="Arial" w:cs="Arial"/>
        </w:rPr>
        <w:t>employees</w:t>
      </w:r>
      <w:r w:rsidR="00D76B1C">
        <w:rPr>
          <w:rFonts w:ascii="Arial" w:hAnsi="Arial" w:cs="Arial"/>
        </w:rPr>
        <w:t>)</w:t>
      </w:r>
      <w:r w:rsidRPr="00075296">
        <w:rPr>
          <w:rFonts w:ascii="Arial" w:hAnsi="Arial" w:cs="Arial"/>
        </w:rPr>
        <w:t>. The information is a</w:t>
      </w:r>
      <w:r w:rsidR="00FC7402">
        <w:rPr>
          <w:rFonts w:ascii="Arial" w:hAnsi="Arial" w:cs="Arial"/>
        </w:rPr>
        <w:t>lso avail</w:t>
      </w:r>
      <w:r w:rsidR="00FC7402">
        <w:rPr>
          <w:rFonts w:ascii="Arial" w:hAnsi="Arial" w:cs="Arial"/>
        </w:rPr>
        <w:softHyphen/>
        <w:t>able upon request.</w:t>
      </w:r>
    </w:p>
    <w:p w14:paraId="7B108A09" w14:textId="1EC28275" w:rsidR="00511172" w:rsidRPr="00242565" w:rsidRDefault="00511172" w:rsidP="00075296">
      <w:pPr>
        <w:spacing w:after="150"/>
        <w:rPr>
          <w:rFonts w:ascii="Arial" w:hAnsi="Arial" w:cs="Arial"/>
        </w:rPr>
      </w:pPr>
      <w:r w:rsidRPr="00242565">
        <w:rPr>
          <w:rFonts w:ascii="Arial" w:hAnsi="Arial" w:cs="Arial"/>
        </w:rPr>
        <w:t>Effective June 1, 2015, the UNH West Haven</w:t>
      </w:r>
      <w:r w:rsidR="00D76B1C">
        <w:rPr>
          <w:rFonts w:ascii="Arial" w:hAnsi="Arial" w:cs="Arial"/>
        </w:rPr>
        <w:t xml:space="preserve"> </w:t>
      </w:r>
      <w:r w:rsidRPr="00242565">
        <w:rPr>
          <w:rFonts w:ascii="Arial" w:hAnsi="Arial" w:cs="Arial"/>
        </w:rPr>
        <w:t xml:space="preserve">and Orange Campuses have gone Tobacco Free and Smoke Free.  Smoking, the use of smokeless tobacco products, e-cigarettes and unregulated products are not permitted on any property, building or space occupied by the University of New Haven including but not limited to that which is owned, </w:t>
      </w:r>
      <w:proofErr w:type="gramStart"/>
      <w:r w:rsidRPr="00242565">
        <w:rPr>
          <w:rFonts w:ascii="Arial" w:hAnsi="Arial" w:cs="Arial"/>
        </w:rPr>
        <w:t>leased</w:t>
      </w:r>
      <w:proofErr w:type="gramEnd"/>
      <w:r w:rsidRPr="00242565">
        <w:rPr>
          <w:rFonts w:ascii="Arial" w:hAnsi="Arial" w:cs="Arial"/>
        </w:rPr>
        <w:t xml:space="preserve"> or managed on the Main Campus, North Campus, and Orange Campus.</w:t>
      </w:r>
      <w:r w:rsidR="008625F7">
        <w:rPr>
          <w:rFonts w:ascii="Arial" w:hAnsi="Arial" w:cs="Arial"/>
        </w:rPr>
        <w:t xml:space="preserve">  For a full copy of this policy, please visit </w:t>
      </w:r>
      <w:r w:rsidR="00A81498" w:rsidRPr="00242565">
        <w:rPr>
          <w:rFonts w:ascii="Arial" w:hAnsi="Arial" w:cs="Arial"/>
        </w:rPr>
        <w:t>www.newhaven.edu/tobacco-</w:t>
      </w:r>
      <w:r w:rsidR="00A81498" w:rsidRPr="00242565">
        <w:rPr>
          <w:rFonts w:ascii="Arial" w:hAnsi="Arial" w:cs="Arial"/>
          <w:bCs/>
        </w:rPr>
        <w:t>free</w:t>
      </w:r>
      <w:r w:rsidR="00A81498" w:rsidRPr="00242565">
        <w:rPr>
          <w:rFonts w:ascii="Arial" w:hAnsi="Arial" w:cs="Arial"/>
        </w:rPr>
        <w:t>/</w:t>
      </w:r>
      <w:r w:rsidR="00A81498" w:rsidRPr="00242565">
        <w:rPr>
          <w:rFonts w:ascii="Arial" w:hAnsi="Arial" w:cs="Arial"/>
          <w:bCs/>
        </w:rPr>
        <w:t>policy</w:t>
      </w:r>
    </w:p>
    <w:p w14:paraId="448C885C" w14:textId="77777777" w:rsidR="00075296" w:rsidRPr="00075296" w:rsidRDefault="00075296" w:rsidP="00075296">
      <w:pPr>
        <w:spacing w:after="150"/>
        <w:rPr>
          <w:rFonts w:ascii="Arial" w:hAnsi="Arial" w:cs="Arial"/>
          <w:b/>
          <w:bCs/>
          <w:u w:val="single"/>
        </w:rPr>
      </w:pPr>
      <w:r w:rsidRPr="00075296">
        <w:rPr>
          <w:rFonts w:ascii="Arial" w:hAnsi="Arial" w:cs="Arial"/>
        </w:rPr>
        <w:br/>
      </w:r>
      <w:r w:rsidRPr="00075296">
        <w:rPr>
          <w:rFonts w:ascii="Arial" w:hAnsi="Arial" w:cs="Arial"/>
          <w:b/>
          <w:bCs/>
          <w:u w:val="single"/>
        </w:rPr>
        <w:t xml:space="preserve">Why We Give You This Information </w:t>
      </w:r>
    </w:p>
    <w:p w14:paraId="5E580C75" w14:textId="77777777" w:rsidR="00075296" w:rsidRPr="00075296" w:rsidRDefault="00075296" w:rsidP="00075296">
      <w:pPr>
        <w:spacing w:after="150"/>
        <w:rPr>
          <w:rFonts w:ascii="Arial" w:hAnsi="Arial" w:cs="Arial"/>
        </w:rPr>
      </w:pPr>
      <w:r w:rsidRPr="00075296">
        <w:rPr>
          <w:rFonts w:ascii="Arial" w:hAnsi="Arial" w:cs="Arial"/>
        </w:rPr>
        <w:t xml:space="preserve">The Drug-Free Schools and Communities Act Amendments of 1989 require an institution of higher education, as a condition of receiving funds or any other form of financial assistance under any federal program, to certify that it has adopted and implemented a program to prevent the unlawful possession, use, or distribution of illicit drugs and alcohol by students and employees. </w:t>
      </w:r>
    </w:p>
    <w:p w14:paraId="72E2D8F1"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As part of its drug prevention program for students and employees, the university annually distributes in writing to each student and employee the following information: </w:t>
      </w:r>
    </w:p>
    <w:p w14:paraId="03A979BC"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    </w:t>
      </w:r>
      <w:proofErr w:type="gramStart"/>
      <w:r w:rsidRPr="00075296">
        <w:rPr>
          <w:rFonts w:ascii="Arial" w:hAnsi="Arial" w:cs="Arial"/>
        </w:rPr>
        <w:t>standards</w:t>
      </w:r>
      <w:proofErr w:type="gramEnd"/>
      <w:r w:rsidRPr="00075296">
        <w:rPr>
          <w:rFonts w:ascii="Arial" w:hAnsi="Arial" w:cs="Arial"/>
        </w:rPr>
        <w:t xml:space="preserve"> of conduct that clearly prohibit the unlawful possession, use, or distribution of illicit drugs and alcohol by students and employees on its property or as part of any of its activities; </w:t>
      </w:r>
    </w:p>
    <w:p w14:paraId="17AFCF3B"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    a description of applicable local, state, and federal legal sanctions pertaining to the unlawful possession, use, or distribution of illicit drugs and </w:t>
      </w:r>
      <w:proofErr w:type="gramStart"/>
      <w:r w:rsidRPr="00075296">
        <w:rPr>
          <w:rFonts w:ascii="Arial" w:hAnsi="Arial" w:cs="Arial"/>
        </w:rPr>
        <w:t>alcohol;</w:t>
      </w:r>
      <w:proofErr w:type="gramEnd"/>
      <w:r w:rsidRPr="00075296">
        <w:rPr>
          <w:rFonts w:ascii="Arial" w:hAnsi="Arial" w:cs="Arial"/>
        </w:rPr>
        <w:t xml:space="preserve"> </w:t>
      </w:r>
    </w:p>
    <w:p w14:paraId="4EADCB2C" w14:textId="77777777" w:rsidR="00075296" w:rsidRPr="00075296" w:rsidRDefault="00075296" w:rsidP="00075296">
      <w:pPr>
        <w:spacing w:after="150" w:line="285" w:lineRule="atLeast"/>
        <w:rPr>
          <w:rFonts w:ascii="Arial" w:hAnsi="Arial" w:cs="Arial"/>
        </w:rPr>
      </w:pPr>
      <w:r w:rsidRPr="00075296">
        <w:rPr>
          <w:rFonts w:ascii="Arial" w:hAnsi="Arial" w:cs="Arial"/>
        </w:rPr>
        <w:lastRenderedPageBreak/>
        <w:t xml:space="preserve">·    a description of health risks associated with the use of illicit drugs and the abuse of </w:t>
      </w:r>
      <w:proofErr w:type="gramStart"/>
      <w:r w:rsidRPr="00075296">
        <w:rPr>
          <w:rFonts w:ascii="Arial" w:hAnsi="Arial" w:cs="Arial"/>
        </w:rPr>
        <w:t>alcohol;</w:t>
      </w:r>
      <w:proofErr w:type="gramEnd"/>
      <w:r w:rsidRPr="00075296">
        <w:rPr>
          <w:rFonts w:ascii="Arial" w:hAnsi="Arial" w:cs="Arial"/>
        </w:rPr>
        <w:t xml:space="preserve"> </w:t>
      </w:r>
    </w:p>
    <w:p w14:paraId="7C582E6C"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    a description of available drug and alcohol counseling, treatment, rehabilitation, and re-entry </w:t>
      </w:r>
      <w:proofErr w:type="gramStart"/>
      <w:r w:rsidRPr="00075296">
        <w:rPr>
          <w:rFonts w:ascii="Arial" w:hAnsi="Arial" w:cs="Arial"/>
        </w:rPr>
        <w:t>programs;</w:t>
      </w:r>
      <w:proofErr w:type="gramEnd"/>
      <w:r w:rsidRPr="00075296">
        <w:rPr>
          <w:rFonts w:ascii="Arial" w:hAnsi="Arial" w:cs="Arial"/>
        </w:rPr>
        <w:t xml:space="preserve"> </w:t>
      </w:r>
    </w:p>
    <w:p w14:paraId="5DF9E476"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    a clear statement of the disciplinary sanctions that the university will impose on students and employees who violate the standards of conduct. </w:t>
      </w:r>
    </w:p>
    <w:p w14:paraId="56BE6D30"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The university has conducted a biennial review of its drug prevention program to determine its effectiveness, implement needed changes, and ensure that disciplinary sanctions are consistently enforced. The university will continue to conduct such reviews. </w:t>
      </w:r>
    </w:p>
    <w:p w14:paraId="626FC0F9" w14:textId="77777777" w:rsidR="00075296" w:rsidRPr="00075296" w:rsidRDefault="00075296" w:rsidP="00075296">
      <w:pPr>
        <w:spacing w:after="150" w:line="285" w:lineRule="atLeast"/>
        <w:rPr>
          <w:rFonts w:ascii="Arial" w:hAnsi="Arial" w:cs="Arial"/>
          <w:b/>
          <w:bCs/>
          <w:u w:val="single"/>
        </w:rPr>
      </w:pPr>
      <w:r w:rsidRPr="00075296">
        <w:rPr>
          <w:rFonts w:ascii="Arial" w:hAnsi="Arial" w:cs="Arial"/>
          <w:b/>
          <w:bCs/>
          <w:u w:val="single"/>
        </w:rPr>
        <w:t xml:space="preserve">Standards of Conduct </w:t>
      </w:r>
    </w:p>
    <w:p w14:paraId="744AF7EE"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The unlawful manufacture, possession, use, dispensation, or distribution of illicit drugs and alcohol by students or employees on university property or as part of any university activity is prohibited. Students and employees must comply with this policy as a condition of enrollment or employment. </w:t>
      </w:r>
    </w:p>
    <w:p w14:paraId="7B165FBE" w14:textId="77777777" w:rsidR="00075296" w:rsidRPr="00075296" w:rsidRDefault="00075296" w:rsidP="00075296">
      <w:pPr>
        <w:spacing w:after="150" w:line="285" w:lineRule="atLeast"/>
        <w:rPr>
          <w:rFonts w:ascii="Arial" w:hAnsi="Arial" w:cs="Arial"/>
          <w:b/>
          <w:bCs/>
          <w:u w:val="single"/>
        </w:rPr>
      </w:pPr>
      <w:r w:rsidRPr="00075296">
        <w:rPr>
          <w:rFonts w:ascii="Arial" w:hAnsi="Arial" w:cs="Arial"/>
          <w:b/>
          <w:bCs/>
          <w:u w:val="single"/>
        </w:rPr>
        <w:t xml:space="preserve">State and Federal Legal Sanctions Concerning Drugs and Alcohol </w:t>
      </w:r>
    </w:p>
    <w:p w14:paraId="2463E6A6" w14:textId="77777777" w:rsidR="00075296" w:rsidRPr="00075296" w:rsidRDefault="00075296" w:rsidP="00075296">
      <w:pPr>
        <w:spacing w:after="150" w:line="285" w:lineRule="atLeast"/>
        <w:rPr>
          <w:rFonts w:ascii="Arial" w:hAnsi="Arial" w:cs="Arial"/>
          <w:b/>
          <w:bCs/>
        </w:rPr>
      </w:pPr>
      <w:r w:rsidRPr="00075296">
        <w:rPr>
          <w:rFonts w:ascii="Arial" w:hAnsi="Arial" w:cs="Arial"/>
          <w:b/>
          <w:bCs/>
        </w:rPr>
        <w:t>Connecticut Statutes</w:t>
      </w:r>
    </w:p>
    <w:p w14:paraId="27943411"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Connecticut statutes cover a wide range of drug offenses, including the offer, the sale, the possession with intent to sell, the gift, and the mere possession of various types of drugs [Connecticut General Statutes Sections 21a 277, 278, 278a, 279]. Among other provisions, the state laws create the following mandatory minimum prison sentences for first-time offenders who are not “drug-dependent” persons: </w:t>
      </w:r>
    </w:p>
    <w:p w14:paraId="7B9E27C5"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    Five years for the manufacture, distribution, or sale, or possession with intent to sell, of one ounce or more of heroin, methadone, or cocaine (including “crack”), or one-half gram or more of cocaine in a freebase form, or five milligrams or more of LSD; </w:t>
      </w:r>
    </w:p>
    <w:p w14:paraId="7D68A839" w14:textId="77777777" w:rsidR="00075296" w:rsidRPr="00075296" w:rsidRDefault="00075296" w:rsidP="00075296">
      <w:pPr>
        <w:spacing w:after="150" w:line="285" w:lineRule="atLeast"/>
        <w:rPr>
          <w:rFonts w:ascii="Arial" w:hAnsi="Arial" w:cs="Arial"/>
        </w:rPr>
      </w:pPr>
      <w:r w:rsidRPr="00075296">
        <w:rPr>
          <w:rFonts w:ascii="Arial" w:hAnsi="Arial" w:cs="Arial"/>
        </w:rPr>
        <w:t>·    Five years for the manufacture, distribution, or sale, or possession with intent to sell, of any narcotic, hallucinogenic, or amphetamine-type substance, or one kilogram or more of a cannabis-type substance (which includes marijuana</w:t>
      </w:r>
      <w:proofErr w:type="gramStart"/>
      <w:r w:rsidRPr="00075296">
        <w:rPr>
          <w:rFonts w:ascii="Arial" w:hAnsi="Arial" w:cs="Arial"/>
        </w:rPr>
        <w:t>);</w:t>
      </w:r>
      <w:proofErr w:type="gramEnd"/>
      <w:r w:rsidRPr="00075296">
        <w:rPr>
          <w:rFonts w:ascii="Arial" w:hAnsi="Arial" w:cs="Arial"/>
        </w:rPr>
        <w:t xml:space="preserve"> </w:t>
      </w:r>
    </w:p>
    <w:p w14:paraId="330A960F"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    Five years for the offer or gift of any of the above drugs in the respective amounts. </w:t>
      </w:r>
    </w:p>
    <w:p w14:paraId="382B80F6"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Conviction for illegal possession of drugs carries no mandatory minimum sentence, but the following are the maximum sentences for first-time offenders: </w:t>
      </w:r>
    </w:p>
    <w:p w14:paraId="77FF2A17"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    Seven years or $50,000 or both for possession of any quantity of a narcotic, including cocaine and “crack,” morphine, or </w:t>
      </w:r>
      <w:proofErr w:type="gramStart"/>
      <w:r w:rsidRPr="00075296">
        <w:rPr>
          <w:rFonts w:ascii="Arial" w:hAnsi="Arial" w:cs="Arial"/>
        </w:rPr>
        <w:t>heroin;</w:t>
      </w:r>
      <w:proofErr w:type="gramEnd"/>
      <w:r w:rsidRPr="00075296">
        <w:rPr>
          <w:rFonts w:ascii="Arial" w:hAnsi="Arial" w:cs="Arial"/>
        </w:rPr>
        <w:t xml:space="preserve"> </w:t>
      </w:r>
    </w:p>
    <w:p w14:paraId="12FEB490" w14:textId="218FCF00" w:rsidR="00075296" w:rsidRPr="00075296" w:rsidRDefault="00075296" w:rsidP="00075296">
      <w:pPr>
        <w:spacing w:after="150" w:line="285" w:lineRule="atLeast"/>
        <w:rPr>
          <w:rFonts w:ascii="Arial" w:hAnsi="Arial" w:cs="Arial"/>
        </w:rPr>
      </w:pPr>
      <w:r w:rsidRPr="00075296">
        <w:rPr>
          <w:rFonts w:ascii="Arial" w:hAnsi="Arial" w:cs="Arial"/>
        </w:rPr>
        <w:t xml:space="preserve">·    Five years or $2,000 or both for possession of any quantity of a hallucinogen (such as LSD or peyote), </w:t>
      </w:r>
    </w:p>
    <w:p w14:paraId="5061A3B2" w14:textId="3DE721BD" w:rsidR="00075296" w:rsidRPr="00075296" w:rsidRDefault="00075296" w:rsidP="00075296">
      <w:pPr>
        <w:spacing w:after="150" w:line="285" w:lineRule="atLeast"/>
        <w:rPr>
          <w:rFonts w:ascii="Arial" w:hAnsi="Arial" w:cs="Arial"/>
        </w:rPr>
      </w:pPr>
      <w:r w:rsidRPr="00075296">
        <w:rPr>
          <w:rFonts w:ascii="Arial" w:hAnsi="Arial" w:cs="Arial"/>
        </w:rPr>
        <w:lastRenderedPageBreak/>
        <w:t xml:space="preserve">·    One year or $1,000 or both for possession of </w:t>
      </w:r>
      <w:proofErr w:type="gramStart"/>
      <w:r w:rsidR="00795A18" w:rsidRPr="00900BDC">
        <w:rPr>
          <w:rFonts w:ascii="Arial" w:hAnsi="Arial" w:cs="Arial"/>
        </w:rPr>
        <w:t>one half</w:t>
      </w:r>
      <w:proofErr w:type="gramEnd"/>
      <w:r w:rsidR="00795A18" w:rsidRPr="00900BDC">
        <w:rPr>
          <w:rFonts w:ascii="Arial" w:hAnsi="Arial" w:cs="Arial"/>
        </w:rPr>
        <w:t xml:space="preserve"> ounce or more but </w:t>
      </w:r>
      <w:r w:rsidRPr="00900BDC">
        <w:rPr>
          <w:rFonts w:ascii="Arial" w:hAnsi="Arial" w:cs="Arial"/>
        </w:rPr>
        <w:t>less</w:t>
      </w:r>
      <w:r w:rsidRPr="00075296">
        <w:rPr>
          <w:rFonts w:ascii="Arial" w:hAnsi="Arial" w:cs="Arial"/>
        </w:rPr>
        <w:t xml:space="preserve"> than </w:t>
      </w:r>
      <w:r w:rsidR="00B717E6">
        <w:rPr>
          <w:rFonts w:ascii="Arial" w:hAnsi="Arial" w:cs="Arial"/>
        </w:rPr>
        <w:t xml:space="preserve">five </w:t>
      </w:r>
      <w:r w:rsidRPr="00075296">
        <w:rPr>
          <w:rFonts w:ascii="Arial" w:hAnsi="Arial" w:cs="Arial"/>
        </w:rPr>
        <w:t xml:space="preserve">ounces of a cannabis-type substance, or any quantity of a controlled drug, such as amphetamines or barbiturates. </w:t>
      </w:r>
    </w:p>
    <w:p w14:paraId="4CD1C405"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Any person who possesses any controlled substance within one thousand five hundred feet of the real property comprising a public or private elementary or secondary school and who is not enrolled in such school shall be imprisoned for two years, and that sentence shall not be suspended and shall be in addition to and consecutive to any term of imprisonment imposed under the general possession provisions. </w:t>
      </w:r>
    </w:p>
    <w:p w14:paraId="2659E449"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Convictions for drug-related offenses involving minors or in the proximity of elementary or secondary schools carry the following mandatory sentences in addition and consecutive to any term of imprisonment imposed for violations of the statutes which prohibit the distribution, sale, and possession with intent to sell of various types of drugs: </w:t>
      </w:r>
    </w:p>
    <w:p w14:paraId="619790A5" w14:textId="6F7C0750" w:rsidR="00075296" w:rsidRPr="00075296" w:rsidRDefault="00075296" w:rsidP="00075296">
      <w:pPr>
        <w:spacing w:after="150" w:line="285" w:lineRule="atLeast"/>
        <w:rPr>
          <w:rFonts w:ascii="Arial" w:hAnsi="Arial" w:cs="Arial"/>
        </w:rPr>
      </w:pPr>
      <w:r w:rsidRPr="00075296">
        <w:rPr>
          <w:rFonts w:ascii="Arial" w:hAnsi="Arial" w:cs="Arial"/>
        </w:rPr>
        <w:t>·    Two years for the distribution, sale, offer, or gift of any controlled substance by a person eighteen years or older to a person under eighteen years of age and who is at least two years younger than the person violating a statute prohibiting the distribution, sale, or possession with intent to sell of various types of drugs</w:t>
      </w:r>
      <w:r w:rsidR="006E4A3B">
        <w:rPr>
          <w:rFonts w:ascii="Arial" w:hAnsi="Arial" w:cs="Arial"/>
        </w:rPr>
        <w:t>.</w:t>
      </w:r>
      <w:r w:rsidRPr="00075296">
        <w:rPr>
          <w:rFonts w:ascii="Arial" w:hAnsi="Arial" w:cs="Arial"/>
        </w:rPr>
        <w:t xml:space="preserve"> </w:t>
      </w:r>
    </w:p>
    <w:p w14:paraId="0E94F8C4"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    Three years for the manufacture, distribution, sale, transport, or possession with intent to sell, dispensation, offer, or gift to another person of any controlled substance within one thousand five hundred feet of the real property comprising a public or private elementary or secondary school or a public housing project; </w:t>
      </w:r>
    </w:p>
    <w:p w14:paraId="04181D1F"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    Three years for employing, hiring, using, persuading, inducing, enticing, or coercing a person under eighteen years of age to violate a statute prohibiting the manufacture, sale, possession with intent to sell, offer, or gift of any controlled substance. </w:t>
      </w:r>
    </w:p>
    <w:p w14:paraId="2C21DE4B"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Actual sentences depend on the severity and the circumstances of the offense and the character and background of the offender. </w:t>
      </w:r>
    </w:p>
    <w:p w14:paraId="2A59A748"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Connecticut law also prohibits the sale, delivery, or giving of alcohol to minors, intoxicated persons, or habitual drunkards [Conn. Gen. Stat. 30 -86]. The penalty for conviction for delivery or giving of alcoholic liquor to a minor is: </w:t>
      </w:r>
    </w:p>
    <w:p w14:paraId="4C734C4C"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    Not more than eighteen months or not more than </w:t>
      </w:r>
    </w:p>
    <w:p w14:paraId="7E42E2F6"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    $1,500 or both. Connecticut law prohibits any person to whom the sale of alcoholic liquor is by law forbidden from purchasing or attempting to purchase such liquor or from making any false statement for the purpose of procuring such liquor [Conn. Gen. Stat. 30-89(a)] and provides the following penalty for convictions: </w:t>
      </w:r>
    </w:p>
    <w:p w14:paraId="6709F206"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    Not less than $200 nor more than $500. </w:t>
      </w:r>
    </w:p>
    <w:p w14:paraId="0396B75C"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    Moreover, Connecticut law prohibits any minor from possessing any alcoholic liquor anywhere to include private property, on any street or highway or in any public  place or place open to the public including any club which is open to the public [Conn. Gen. Stat. 30-89(b)] and provides the following penalty: </w:t>
      </w:r>
    </w:p>
    <w:p w14:paraId="4804FC78" w14:textId="77777777" w:rsidR="00075296" w:rsidRPr="00075296" w:rsidRDefault="00075296" w:rsidP="00075296">
      <w:pPr>
        <w:spacing w:after="150" w:line="285" w:lineRule="atLeast"/>
        <w:rPr>
          <w:rFonts w:ascii="Arial" w:hAnsi="Arial" w:cs="Arial"/>
        </w:rPr>
      </w:pPr>
      <w:r w:rsidRPr="00075296">
        <w:rPr>
          <w:rFonts w:ascii="Arial" w:hAnsi="Arial" w:cs="Arial"/>
        </w:rPr>
        <w:lastRenderedPageBreak/>
        <w:t xml:space="preserve">·    </w:t>
      </w:r>
      <w:r w:rsidR="00795A18" w:rsidRPr="00900BDC">
        <w:rPr>
          <w:rFonts w:ascii="Arial" w:hAnsi="Arial" w:cs="Arial"/>
        </w:rPr>
        <w:t>First offense $136 infraction.  Second or subsequent offense n</w:t>
      </w:r>
      <w:r w:rsidRPr="00900BDC">
        <w:rPr>
          <w:rFonts w:ascii="Arial" w:hAnsi="Arial" w:cs="Arial"/>
        </w:rPr>
        <w:t>ot less than $200 nor more than $500.</w:t>
      </w:r>
      <w:r w:rsidRPr="00075296">
        <w:rPr>
          <w:rFonts w:ascii="Arial" w:hAnsi="Arial" w:cs="Arial"/>
        </w:rPr>
        <w:t xml:space="preserve"> </w:t>
      </w:r>
    </w:p>
    <w:p w14:paraId="02565C57"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    This law does not apply to a minor who possesses alcohol on order of a practicing physician or to a minor who possesses alcohol when accompanied by a parent, guardian, or spouse who is 21 or over. Federal law also penalizes the manufacture, distribution, possession with intent to manufacture or distribute, and simple possession of drugs (“controlled substances”) [Controlled Substances Act, 21 U.S.C. 841, 843(b), 844, 846, 859, 860]. The law sets the following sentences for first-time offenders: </w:t>
      </w:r>
    </w:p>
    <w:p w14:paraId="462139CA"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    A minimum of ten years and a maximum of life imprisonment, a fine not to exceed the greater of $4,000,000 or other applicable penalties, or both, for the knowing or intentional manufacture, sale, or possession with intent to sell, of large amounts of any narcotic, including heroin, morphine, or cocaine (which includes “crack”), or of phencyclidine (PCP), or of LSD, or of marijuana (1,000 kilo-grams or more of a mixture or substance containing a detectable amount of marijuana, or 1,000 or more marijuana plants regardless of weight); </w:t>
      </w:r>
    </w:p>
    <w:p w14:paraId="03B2DF78"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    A minimum of five years and a maximum of forty years, a fine not to exceed the greater of $2,000,000 or other applicable penalties, or both, for similar actions involving smaller amounts of any narcotic, including heroin, morphine, or cocaine (which includes “crack”), or of phencyclidine (PCP), or of LSD, or of marijuana (100 kilo-grams or more of a mixture or substance containing a detectable amount of marijuana, or 100 or more marijuana plants regardless of weight); </w:t>
      </w:r>
    </w:p>
    <w:p w14:paraId="0033A3FD"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    A maximum of five years, a fine not to exceed the greater of $250,000 or other applicable penalties, or both, for similar actions involving smaller amounts of marijuana (less than 50 kilograms, except in the case of 50 or more marijuana plants regardless of weight), hashish, hashish oil, PCP or LSD, or any amounts of amphetamines, barbiturates, and other controlled stimulants and depressives; </w:t>
      </w:r>
    </w:p>
    <w:p w14:paraId="5826C686"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    A maximum of four years, a fine of not more than $30,000, or both, for knowingly or intentionally using the mail, telephone, radio, or any other public or private means of communication to commit acts that violate the laws against the manufacture, sale, and possession of drugs; </w:t>
      </w:r>
    </w:p>
    <w:p w14:paraId="629AE390" w14:textId="7D29A29A" w:rsidR="00C03C7F" w:rsidRDefault="00075296" w:rsidP="00C03C7F">
      <w:pPr>
        <w:rPr>
          <w:rFonts w:ascii="Arial" w:hAnsi="Arial" w:cs="Arial"/>
        </w:rPr>
      </w:pPr>
      <w:r w:rsidRPr="00075296">
        <w:rPr>
          <w:rFonts w:ascii="Arial" w:hAnsi="Arial" w:cs="Arial"/>
        </w:rPr>
        <w:t xml:space="preserve">·    A maximum of one year and a minimum fine of $1,000, or both, for knowingly </w:t>
      </w:r>
      <w:proofErr w:type="gramStart"/>
      <w:r w:rsidRPr="00075296">
        <w:rPr>
          <w:rFonts w:ascii="Arial" w:hAnsi="Arial" w:cs="Arial"/>
        </w:rPr>
        <w:t>or</w:t>
      </w:r>
      <w:proofErr w:type="gramEnd"/>
      <w:r w:rsidRPr="00075296">
        <w:rPr>
          <w:rFonts w:ascii="Arial" w:hAnsi="Arial" w:cs="Arial"/>
        </w:rPr>
        <w:t xml:space="preserve"> intentionally possessing any controlled substance. </w:t>
      </w:r>
    </w:p>
    <w:p w14:paraId="262EFB6F" w14:textId="3B498485" w:rsidR="007A3EC4" w:rsidRDefault="007A3EC4" w:rsidP="00C03C7F">
      <w:pPr>
        <w:rPr>
          <w:rFonts w:ascii="Arial" w:hAnsi="Arial" w:cs="Arial"/>
        </w:rPr>
      </w:pPr>
    </w:p>
    <w:p w14:paraId="0E6DA994" w14:textId="50F2AC38" w:rsidR="007A3EC4" w:rsidRDefault="007A3EC4" w:rsidP="00C03C7F">
      <w:pPr>
        <w:rPr>
          <w:rFonts w:ascii="Arial" w:hAnsi="Arial" w:cs="Arial"/>
        </w:rPr>
      </w:pPr>
      <w:r>
        <w:rPr>
          <w:rFonts w:ascii="Arial" w:hAnsi="Arial" w:cs="Arial"/>
        </w:rPr>
        <w:t xml:space="preserve">In 2021, Connecticut legalized recreational cannabis for those over the age of 21.  Person are permitted to have up to 5 grams of cannabis in their possession.  Please note that University policy still prohibits cannabis or cannabis paraphernalia on </w:t>
      </w:r>
      <w:proofErr w:type="gramStart"/>
      <w:r>
        <w:rPr>
          <w:rFonts w:ascii="Arial" w:hAnsi="Arial" w:cs="Arial"/>
        </w:rPr>
        <w:t>all of</w:t>
      </w:r>
      <w:proofErr w:type="gramEnd"/>
      <w:r>
        <w:rPr>
          <w:rFonts w:ascii="Arial" w:hAnsi="Arial" w:cs="Arial"/>
        </w:rPr>
        <w:t xml:space="preserve"> its campuses regardless of age.</w:t>
      </w:r>
    </w:p>
    <w:p w14:paraId="1D30FB23" w14:textId="77777777" w:rsidR="006622A4" w:rsidRDefault="006622A4" w:rsidP="00C03C7F">
      <w:pPr>
        <w:rPr>
          <w:rFonts w:ascii="Arial" w:hAnsi="Arial" w:cs="Arial"/>
        </w:rPr>
      </w:pPr>
    </w:p>
    <w:p w14:paraId="73BF2CAD" w14:textId="77777777" w:rsidR="006622A4" w:rsidRDefault="006622A4" w:rsidP="00C03C7F">
      <w:pPr>
        <w:rPr>
          <w:rFonts w:ascii="Arial" w:hAnsi="Arial" w:cs="Arial"/>
        </w:rPr>
      </w:pPr>
    </w:p>
    <w:p w14:paraId="18D0DFA5" w14:textId="77777777" w:rsidR="006622A4" w:rsidRDefault="006622A4" w:rsidP="00C03C7F">
      <w:pPr>
        <w:rPr>
          <w:rFonts w:ascii="Arial" w:hAnsi="Arial" w:cs="Arial"/>
        </w:rPr>
      </w:pPr>
    </w:p>
    <w:p w14:paraId="04B8F64D" w14:textId="77777777" w:rsidR="006622A4" w:rsidRDefault="006622A4" w:rsidP="00C03C7F">
      <w:pPr>
        <w:rPr>
          <w:rFonts w:ascii="Arial" w:hAnsi="Arial" w:cs="Arial"/>
        </w:rPr>
      </w:pPr>
    </w:p>
    <w:p w14:paraId="572EC7DC" w14:textId="4632D8BA" w:rsidR="007A3EC4" w:rsidRDefault="007A3EC4" w:rsidP="00C03C7F">
      <w:pPr>
        <w:rPr>
          <w:rFonts w:ascii="Arial" w:hAnsi="Arial" w:cs="Arial"/>
        </w:rPr>
      </w:pPr>
    </w:p>
    <w:tbl>
      <w:tblPr>
        <w:tblW w:w="9921" w:type="dxa"/>
        <w:tblInd w:w="515" w:type="dxa"/>
        <w:tblLook w:val="04A0" w:firstRow="1" w:lastRow="0" w:firstColumn="1" w:lastColumn="0" w:noHBand="0" w:noVBand="1"/>
      </w:tblPr>
      <w:tblGrid>
        <w:gridCol w:w="952"/>
        <w:gridCol w:w="2525"/>
        <w:gridCol w:w="2654"/>
        <w:gridCol w:w="3790"/>
      </w:tblGrid>
      <w:tr w:rsidR="007A3EC4" w14:paraId="04748AC0" w14:textId="77777777" w:rsidTr="007A3EC4">
        <w:trPr>
          <w:trHeight w:val="283"/>
        </w:trPr>
        <w:tc>
          <w:tcPr>
            <w:tcW w:w="952" w:type="dxa"/>
            <w:tcBorders>
              <w:top w:val="single" w:sz="8" w:space="0" w:color="auto"/>
              <w:left w:val="single" w:sz="8" w:space="0" w:color="auto"/>
              <w:bottom w:val="single" w:sz="8" w:space="0" w:color="auto"/>
              <w:right w:val="single" w:sz="8" w:space="0" w:color="auto"/>
            </w:tcBorders>
            <w:shd w:val="clear" w:color="auto" w:fill="D9D9D9"/>
            <w:noWrap/>
            <w:vAlign w:val="bottom"/>
            <w:hideMark/>
          </w:tcPr>
          <w:p w14:paraId="003FBF2A" w14:textId="77777777" w:rsidR="007A3EC4" w:rsidRDefault="007A3EC4">
            <w:pPr>
              <w:jc w:val="center"/>
              <w:rPr>
                <w:rFonts w:ascii="Calibri" w:eastAsia="Times New Roman" w:hAnsi="Calibri" w:cs="Calibri"/>
                <w:color w:val="000000"/>
                <w:sz w:val="21"/>
                <w:szCs w:val="22"/>
              </w:rPr>
            </w:pPr>
            <w:r>
              <w:rPr>
                <w:rFonts w:ascii="Calibri" w:eastAsia="Times New Roman" w:hAnsi="Calibri" w:cs="Calibri"/>
                <w:color w:val="000000"/>
                <w:sz w:val="21"/>
              </w:rPr>
              <w:lastRenderedPageBreak/>
              <w:t>Age</w:t>
            </w:r>
          </w:p>
        </w:tc>
        <w:tc>
          <w:tcPr>
            <w:tcW w:w="8969" w:type="dxa"/>
            <w:gridSpan w:val="3"/>
            <w:tcBorders>
              <w:top w:val="single" w:sz="8" w:space="0" w:color="auto"/>
              <w:left w:val="nil"/>
              <w:bottom w:val="single" w:sz="8" w:space="0" w:color="auto"/>
              <w:right w:val="single" w:sz="8" w:space="0" w:color="auto"/>
            </w:tcBorders>
            <w:shd w:val="clear" w:color="auto" w:fill="D9D9D9"/>
            <w:noWrap/>
            <w:vAlign w:val="bottom"/>
            <w:hideMark/>
          </w:tcPr>
          <w:p w14:paraId="28955898" w14:textId="77777777" w:rsidR="007A3EC4" w:rsidRDefault="007A3EC4">
            <w:pPr>
              <w:jc w:val="center"/>
              <w:rPr>
                <w:rFonts w:ascii="Calibri" w:eastAsia="Times New Roman" w:hAnsi="Calibri" w:cs="Calibri"/>
                <w:color w:val="000000"/>
                <w:sz w:val="21"/>
              </w:rPr>
            </w:pPr>
            <w:r>
              <w:rPr>
                <w:rFonts w:ascii="Calibri" w:eastAsia="Times New Roman" w:hAnsi="Calibri" w:cs="Calibri"/>
                <w:color w:val="000000"/>
                <w:sz w:val="21"/>
              </w:rPr>
              <w:t>Amount Possessed</w:t>
            </w:r>
          </w:p>
        </w:tc>
      </w:tr>
      <w:tr w:rsidR="007A3EC4" w14:paraId="693C479B" w14:textId="77777777" w:rsidTr="007A3EC4">
        <w:trPr>
          <w:trHeight w:val="283"/>
        </w:trPr>
        <w:tc>
          <w:tcPr>
            <w:tcW w:w="952" w:type="dxa"/>
            <w:tcBorders>
              <w:top w:val="single" w:sz="8" w:space="0" w:color="auto"/>
              <w:left w:val="single" w:sz="8" w:space="0" w:color="auto"/>
              <w:bottom w:val="single" w:sz="8" w:space="0" w:color="auto"/>
              <w:right w:val="single" w:sz="8" w:space="0" w:color="auto"/>
            </w:tcBorders>
            <w:shd w:val="clear" w:color="auto" w:fill="D9D9D9"/>
            <w:noWrap/>
            <w:vAlign w:val="bottom"/>
            <w:hideMark/>
          </w:tcPr>
          <w:p w14:paraId="05FBAD36" w14:textId="77777777" w:rsidR="007A3EC4" w:rsidRDefault="007A3EC4">
            <w:pPr>
              <w:rPr>
                <w:rFonts w:ascii="Calibri" w:eastAsia="Times New Roman" w:hAnsi="Calibri" w:cs="Calibri"/>
                <w:color w:val="000000"/>
                <w:sz w:val="21"/>
              </w:rPr>
            </w:pPr>
          </w:p>
        </w:tc>
        <w:tc>
          <w:tcPr>
            <w:tcW w:w="2525" w:type="dxa"/>
            <w:tcBorders>
              <w:top w:val="single" w:sz="8" w:space="0" w:color="auto"/>
              <w:left w:val="nil"/>
              <w:bottom w:val="single" w:sz="8" w:space="0" w:color="auto"/>
              <w:right w:val="single" w:sz="8" w:space="0" w:color="auto"/>
            </w:tcBorders>
            <w:shd w:val="clear" w:color="auto" w:fill="D9D9D9"/>
            <w:noWrap/>
            <w:vAlign w:val="bottom"/>
            <w:hideMark/>
          </w:tcPr>
          <w:p w14:paraId="2330B2B5" w14:textId="77777777" w:rsidR="007A3EC4" w:rsidRDefault="007A3EC4">
            <w:pPr>
              <w:jc w:val="center"/>
              <w:rPr>
                <w:rFonts w:ascii="Calibri" w:eastAsia="Times New Roman" w:hAnsi="Calibri" w:cs="Calibri"/>
                <w:color w:val="000000"/>
                <w:sz w:val="21"/>
                <w:szCs w:val="22"/>
              </w:rPr>
            </w:pPr>
            <w:r>
              <w:rPr>
                <w:rFonts w:ascii="Calibri" w:eastAsia="Times New Roman" w:hAnsi="Calibri" w:cs="Calibri"/>
                <w:color w:val="000000"/>
                <w:sz w:val="21"/>
              </w:rPr>
              <w:t>0-1.5 oz.</w:t>
            </w:r>
          </w:p>
        </w:tc>
        <w:tc>
          <w:tcPr>
            <w:tcW w:w="2654" w:type="dxa"/>
            <w:tcBorders>
              <w:top w:val="single" w:sz="8" w:space="0" w:color="auto"/>
              <w:left w:val="nil"/>
              <w:bottom w:val="single" w:sz="8" w:space="0" w:color="auto"/>
              <w:right w:val="single" w:sz="8" w:space="0" w:color="auto"/>
            </w:tcBorders>
            <w:shd w:val="clear" w:color="auto" w:fill="D9D9D9"/>
            <w:noWrap/>
            <w:vAlign w:val="bottom"/>
            <w:hideMark/>
          </w:tcPr>
          <w:p w14:paraId="1E44852D" w14:textId="77777777" w:rsidR="007A3EC4" w:rsidRDefault="007A3EC4">
            <w:pPr>
              <w:jc w:val="center"/>
              <w:rPr>
                <w:rFonts w:ascii="Calibri" w:eastAsia="Times New Roman" w:hAnsi="Calibri" w:cs="Calibri"/>
                <w:color w:val="000000"/>
                <w:sz w:val="21"/>
              </w:rPr>
            </w:pPr>
            <w:r>
              <w:rPr>
                <w:rFonts w:ascii="Calibri" w:eastAsia="Times New Roman" w:hAnsi="Calibri" w:cs="Calibri"/>
                <w:color w:val="000000"/>
                <w:sz w:val="21"/>
              </w:rPr>
              <w:t>1.5-5 oz.</w:t>
            </w:r>
          </w:p>
        </w:tc>
        <w:tc>
          <w:tcPr>
            <w:tcW w:w="3790" w:type="dxa"/>
            <w:tcBorders>
              <w:top w:val="single" w:sz="8" w:space="0" w:color="auto"/>
              <w:left w:val="nil"/>
              <w:bottom w:val="single" w:sz="8" w:space="0" w:color="auto"/>
              <w:right w:val="single" w:sz="8" w:space="0" w:color="auto"/>
            </w:tcBorders>
            <w:shd w:val="clear" w:color="auto" w:fill="D9D9D9"/>
            <w:noWrap/>
            <w:vAlign w:val="bottom"/>
            <w:hideMark/>
          </w:tcPr>
          <w:p w14:paraId="45B5C466" w14:textId="77777777" w:rsidR="007A3EC4" w:rsidRDefault="007A3EC4">
            <w:pPr>
              <w:jc w:val="center"/>
              <w:rPr>
                <w:rFonts w:ascii="Calibri" w:eastAsia="Times New Roman" w:hAnsi="Calibri" w:cs="Calibri"/>
                <w:color w:val="000000"/>
                <w:sz w:val="21"/>
              </w:rPr>
            </w:pPr>
            <w:r>
              <w:rPr>
                <w:rFonts w:ascii="Calibri" w:eastAsia="Times New Roman" w:hAnsi="Calibri" w:cs="Calibri"/>
                <w:color w:val="000000"/>
                <w:sz w:val="21"/>
              </w:rPr>
              <w:t>5 oz.+</w:t>
            </w:r>
          </w:p>
        </w:tc>
      </w:tr>
      <w:tr w:rsidR="007A3EC4" w14:paraId="5081C361" w14:textId="77777777" w:rsidTr="007A3EC4">
        <w:trPr>
          <w:trHeight w:val="270"/>
        </w:trPr>
        <w:tc>
          <w:tcPr>
            <w:tcW w:w="952" w:type="dxa"/>
            <w:vMerge w:val="restart"/>
            <w:tcBorders>
              <w:top w:val="nil"/>
              <w:left w:val="single" w:sz="8" w:space="0" w:color="auto"/>
              <w:bottom w:val="single" w:sz="8" w:space="0" w:color="000000"/>
              <w:right w:val="nil"/>
            </w:tcBorders>
            <w:noWrap/>
            <w:vAlign w:val="center"/>
            <w:hideMark/>
          </w:tcPr>
          <w:p w14:paraId="4893FB3F" w14:textId="77777777" w:rsidR="007A3EC4" w:rsidRDefault="007A3EC4">
            <w:pPr>
              <w:jc w:val="center"/>
              <w:rPr>
                <w:rFonts w:ascii="Calibri" w:eastAsia="Times New Roman" w:hAnsi="Calibri" w:cs="Calibri"/>
                <w:color w:val="000000"/>
                <w:sz w:val="21"/>
              </w:rPr>
            </w:pPr>
            <w:r>
              <w:rPr>
                <w:rFonts w:ascii="Calibri" w:eastAsia="Times New Roman" w:hAnsi="Calibri" w:cs="Calibri"/>
                <w:color w:val="000000"/>
                <w:sz w:val="21"/>
              </w:rPr>
              <w:t>Juvenile</w:t>
            </w:r>
          </w:p>
        </w:tc>
        <w:tc>
          <w:tcPr>
            <w:tcW w:w="5179" w:type="dxa"/>
            <w:gridSpan w:val="2"/>
            <w:tcBorders>
              <w:top w:val="single" w:sz="8" w:space="0" w:color="auto"/>
              <w:left w:val="single" w:sz="8" w:space="0" w:color="auto"/>
              <w:bottom w:val="nil"/>
              <w:right w:val="single" w:sz="8" w:space="0" w:color="000000"/>
            </w:tcBorders>
            <w:noWrap/>
            <w:vAlign w:val="bottom"/>
            <w:hideMark/>
          </w:tcPr>
          <w:p w14:paraId="701A75FA" w14:textId="77777777" w:rsidR="007A3EC4" w:rsidRDefault="007A3EC4">
            <w:pPr>
              <w:jc w:val="center"/>
              <w:rPr>
                <w:rFonts w:ascii="Calibri" w:eastAsia="Times New Roman" w:hAnsi="Calibri" w:cs="Calibri"/>
                <w:color w:val="000000"/>
                <w:sz w:val="21"/>
              </w:rPr>
            </w:pPr>
            <w:r w:rsidRPr="006622A4">
              <w:rPr>
                <w:rFonts w:ascii="Calibri" w:eastAsia="Times New Roman" w:hAnsi="Calibri" w:cs="Calibri"/>
                <w:color w:val="000000"/>
                <w:sz w:val="21"/>
              </w:rPr>
              <w:t>CGS Sec. 21a-279a(b)</w:t>
            </w:r>
          </w:p>
        </w:tc>
        <w:tc>
          <w:tcPr>
            <w:tcW w:w="3790" w:type="dxa"/>
            <w:tcBorders>
              <w:top w:val="nil"/>
              <w:left w:val="nil"/>
              <w:bottom w:val="nil"/>
              <w:right w:val="single" w:sz="8" w:space="0" w:color="auto"/>
            </w:tcBorders>
            <w:noWrap/>
            <w:vAlign w:val="bottom"/>
            <w:hideMark/>
          </w:tcPr>
          <w:p w14:paraId="422CECB5" w14:textId="77777777" w:rsidR="007A3EC4" w:rsidRDefault="007A3EC4">
            <w:pPr>
              <w:rPr>
                <w:rFonts w:ascii="Calibri" w:eastAsia="Times New Roman" w:hAnsi="Calibri" w:cs="Calibri"/>
                <w:color w:val="000000"/>
                <w:sz w:val="21"/>
              </w:rPr>
            </w:pPr>
          </w:p>
        </w:tc>
      </w:tr>
      <w:tr w:rsidR="007A3EC4" w14:paraId="0CE483B1" w14:textId="77777777" w:rsidTr="007A3EC4">
        <w:trPr>
          <w:trHeight w:val="270"/>
        </w:trPr>
        <w:tc>
          <w:tcPr>
            <w:tcW w:w="0" w:type="auto"/>
            <w:vMerge/>
            <w:tcBorders>
              <w:top w:val="nil"/>
              <w:left w:val="single" w:sz="8" w:space="0" w:color="auto"/>
              <w:bottom w:val="single" w:sz="8" w:space="0" w:color="000000"/>
              <w:right w:val="nil"/>
            </w:tcBorders>
            <w:vAlign w:val="center"/>
            <w:hideMark/>
          </w:tcPr>
          <w:p w14:paraId="1D314219" w14:textId="77777777" w:rsidR="007A3EC4" w:rsidRDefault="007A3EC4">
            <w:pPr>
              <w:spacing w:line="256" w:lineRule="auto"/>
              <w:rPr>
                <w:rFonts w:ascii="Calibri" w:eastAsia="Times New Roman" w:hAnsi="Calibri" w:cs="Calibri"/>
                <w:color w:val="000000"/>
                <w:sz w:val="21"/>
                <w:szCs w:val="22"/>
              </w:rPr>
            </w:pPr>
          </w:p>
        </w:tc>
        <w:tc>
          <w:tcPr>
            <w:tcW w:w="5179" w:type="dxa"/>
            <w:gridSpan w:val="2"/>
            <w:tcBorders>
              <w:top w:val="nil"/>
              <w:left w:val="single" w:sz="8" w:space="0" w:color="auto"/>
              <w:bottom w:val="nil"/>
              <w:right w:val="single" w:sz="8" w:space="0" w:color="000000"/>
            </w:tcBorders>
            <w:noWrap/>
            <w:vAlign w:val="bottom"/>
            <w:hideMark/>
          </w:tcPr>
          <w:p w14:paraId="05C1751A" w14:textId="77777777" w:rsidR="007A3EC4" w:rsidRDefault="007A3EC4">
            <w:pPr>
              <w:jc w:val="center"/>
              <w:rPr>
                <w:rFonts w:ascii="Calibri" w:eastAsia="Times New Roman" w:hAnsi="Calibri" w:cs="Calibri"/>
                <w:color w:val="000000"/>
                <w:sz w:val="21"/>
                <w:szCs w:val="22"/>
              </w:rPr>
            </w:pPr>
            <w:r>
              <w:rPr>
                <w:rFonts w:ascii="Calibri" w:eastAsia="Times New Roman" w:hAnsi="Calibri" w:cs="Calibri"/>
                <w:color w:val="000000"/>
                <w:sz w:val="21"/>
              </w:rPr>
              <w:t>1</w:t>
            </w:r>
            <w:r>
              <w:rPr>
                <w:rFonts w:ascii="Calibri" w:eastAsia="Times New Roman" w:hAnsi="Calibri" w:cs="Calibri"/>
                <w:color w:val="000000"/>
                <w:sz w:val="21"/>
                <w:vertAlign w:val="superscript"/>
              </w:rPr>
              <w:t>st</w:t>
            </w:r>
            <w:r>
              <w:rPr>
                <w:rFonts w:ascii="Calibri" w:eastAsia="Times New Roman" w:hAnsi="Calibri" w:cs="Calibri"/>
                <w:color w:val="000000"/>
                <w:sz w:val="21"/>
              </w:rPr>
              <w:t xml:space="preserve"> offense: Written warning; optional referral to YSB/JRB</w:t>
            </w:r>
          </w:p>
        </w:tc>
        <w:tc>
          <w:tcPr>
            <w:tcW w:w="3790" w:type="dxa"/>
            <w:tcBorders>
              <w:top w:val="nil"/>
              <w:left w:val="nil"/>
              <w:bottom w:val="nil"/>
              <w:right w:val="single" w:sz="8" w:space="0" w:color="auto"/>
            </w:tcBorders>
            <w:noWrap/>
            <w:vAlign w:val="bottom"/>
            <w:hideMark/>
          </w:tcPr>
          <w:p w14:paraId="69B62CE0" w14:textId="77777777" w:rsidR="007A3EC4" w:rsidRDefault="007A3EC4">
            <w:pPr>
              <w:jc w:val="center"/>
              <w:rPr>
                <w:rFonts w:ascii="Calibri" w:eastAsia="Times New Roman" w:hAnsi="Calibri" w:cs="Calibri"/>
                <w:color w:val="000000"/>
                <w:sz w:val="21"/>
              </w:rPr>
            </w:pPr>
            <w:r w:rsidRPr="006622A4">
              <w:rPr>
                <w:rFonts w:ascii="Calibri" w:eastAsia="Times New Roman" w:hAnsi="Calibri" w:cs="Calibri"/>
                <w:color w:val="000000"/>
                <w:sz w:val="21"/>
              </w:rPr>
              <w:t>CGS Sec. 21a-279a (e)</w:t>
            </w:r>
          </w:p>
        </w:tc>
      </w:tr>
      <w:tr w:rsidR="007A3EC4" w14:paraId="0D7363D2" w14:textId="77777777" w:rsidTr="007A3EC4">
        <w:trPr>
          <w:trHeight w:val="270"/>
        </w:trPr>
        <w:tc>
          <w:tcPr>
            <w:tcW w:w="0" w:type="auto"/>
            <w:vMerge/>
            <w:tcBorders>
              <w:top w:val="nil"/>
              <w:left w:val="single" w:sz="8" w:space="0" w:color="auto"/>
              <w:bottom w:val="single" w:sz="8" w:space="0" w:color="000000"/>
              <w:right w:val="nil"/>
            </w:tcBorders>
            <w:vAlign w:val="center"/>
            <w:hideMark/>
          </w:tcPr>
          <w:p w14:paraId="359CC982" w14:textId="77777777" w:rsidR="007A3EC4" w:rsidRDefault="007A3EC4">
            <w:pPr>
              <w:spacing w:line="256" w:lineRule="auto"/>
              <w:rPr>
                <w:rFonts w:ascii="Calibri" w:eastAsia="Times New Roman" w:hAnsi="Calibri" w:cs="Calibri"/>
                <w:color w:val="000000"/>
                <w:sz w:val="21"/>
                <w:szCs w:val="22"/>
              </w:rPr>
            </w:pPr>
          </w:p>
        </w:tc>
        <w:tc>
          <w:tcPr>
            <w:tcW w:w="5179" w:type="dxa"/>
            <w:gridSpan w:val="2"/>
            <w:tcBorders>
              <w:top w:val="nil"/>
              <w:left w:val="single" w:sz="8" w:space="0" w:color="auto"/>
              <w:bottom w:val="nil"/>
              <w:right w:val="single" w:sz="8" w:space="0" w:color="000000"/>
            </w:tcBorders>
            <w:noWrap/>
            <w:vAlign w:val="bottom"/>
            <w:hideMark/>
          </w:tcPr>
          <w:p w14:paraId="5AEB6082" w14:textId="77777777" w:rsidR="007A3EC4" w:rsidRDefault="007A3EC4">
            <w:pPr>
              <w:jc w:val="center"/>
              <w:rPr>
                <w:rFonts w:ascii="Calibri" w:eastAsia="Times New Roman" w:hAnsi="Calibri" w:cs="Calibri"/>
                <w:color w:val="000000"/>
                <w:sz w:val="21"/>
              </w:rPr>
            </w:pPr>
            <w:r>
              <w:rPr>
                <w:rFonts w:ascii="Calibri" w:eastAsia="Times New Roman" w:hAnsi="Calibri" w:cs="Calibri"/>
                <w:color w:val="000000"/>
                <w:sz w:val="21"/>
              </w:rPr>
              <w:t>2</w:t>
            </w:r>
            <w:r>
              <w:rPr>
                <w:rFonts w:ascii="Calibri" w:eastAsia="Times New Roman" w:hAnsi="Calibri" w:cs="Calibri"/>
                <w:color w:val="000000"/>
                <w:sz w:val="21"/>
                <w:vertAlign w:val="superscript"/>
              </w:rPr>
              <w:t>nd</w:t>
            </w:r>
            <w:r>
              <w:rPr>
                <w:rFonts w:ascii="Calibri" w:eastAsia="Times New Roman" w:hAnsi="Calibri" w:cs="Calibri"/>
                <w:color w:val="000000"/>
                <w:sz w:val="21"/>
              </w:rPr>
              <w:t xml:space="preserve"> offense: Mandatory YSB/JRB referral, no arrest</w:t>
            </w:r>
          </w:p>
        </w:tc>
        <w:tc>
          <w:tcPr>
            <w:tcW w:w="3790" w:type="dxa"/>
            <w:tcBorders>
              <w:top w:val="nil"/>
              <w:left w:val="nil"/>
              <w:bottom w:val="nil"/>
              <w:right w:val="single" w:sz="8" w:space="0" w:color="auto"/>
            </w:tcBorders>
            <w:noWrap/>
            <w:vAlign w:val="bottom"/>
            <w:hideMark/>
          </w:tcPr>
          <w:p w14:paraId="12E244BB" w14:textId="77777777" w:rsidR="007A3EC4" w:rsidRDefault="007A3EC4">
            <w:pPr>
              <w:jc w:val="center"/>
              <w:rPr>
                <w:rFonts w:ascii="Calibri" w:eastAsia="Times New Roman" w:hAnsi="Calibri" w:cs="Calibri"/>
                <w:color w:val="000000"/>
                <w:sz w:val="21"/>
              </w:rPr>
            </w:pPr>
            <w:proofErr w:type="spellStart"/>
            <w:r>
              <w:rPr>
                <w:rFonts w:ascii="Calibri" w:eastAsia="Times New Roman" w:hAnsi="Calibri" w:cs="Calibri"/>
                <w:color w:val="000000"/>
                <w:sz w:val="21"/>
              </w:rPr>
              <w:t>Juv</w:t>
            </w:r>
            <w:proofErr w:type="spellEnd"/>
            <w:r>
              <w:rPr>
                <w:rFonts w:ascii="Calibri" w:eastAsia="Times New Roman" w:hAnsi="Calibri" w:cs="Calibri"/>
                <w:color w:val="000000"/>
                <w:sz w:val="21"/>
              </w:rPr>
              <w:t>- Delinquent act</w:t>
            </w:r>
          </w:p>
        </w:tc>
      </w:tr>
      <w:tr w:rsidR="007A3EC4" w14:paraId="75CA3130" w14:textId="77777777" w:rsidTr="007A3EC4">
        <w:trPr>
          <w:trHeight w:val="283"/>
        </w:trPr>
        <w:tc>
          <w:tcPr>
            <w:tcW w:w="0" w:type="auto"/>
            <w:vMerge/>
            <w:tcBorders>
              <w:top w:val="nil"/>
              <w:left w:val="single" w:sz="8" w:space="0" w:color="auto"/>
              <w:bottom w:val="single" w:sz="8" w:space="0" w:color="000000"/>
              <w:right w:val="nil"/>
            </w:tcBorders>
            <w:vAlign w:val="center"/>
            <w:hideMark/>
          </w:tcPr>
          <w:p w14:paraId="1EC9375F" w14:textId="77777777" w:rsidR="007A3EC4" w:rsidRDefault="007A3EC4">
            <w:pPr>
              <w:spacing w:line="256" w:lineRule="auto"/>
              <w:rPr>
                <w:rFonts w:ascii="Calibri" w:eastAsia="Times New Roman" w:hAnsi="Calibri" w:cs="Calibri"/>
                <w:color w:val="000000"/>
                <w:sz w:val="21"/>
                <w:szCs w:val="22"/>
              </w:rPr>
            </w:pPr>
          </w:p>
        </w:tc>
        <w:tc>
          <w:tcPr>
            <w:tcW w:w="5179" w:type="dxa"/>
            <w:gridSpan w:val="2"/>
            <w:tcBorders>
              <w:top w:val="nil"/>
              <w:left w:val="single" w:sz="8" w:space="0" w:color="auto"/>
              <w:bottom w:val="single" w:sz="8" w:space="0" w:color="auto"/>
              <w:right w:val="single" w:sz="8" w:space="0" w:color="000000"/>
            </w:tcBorders>
            <w:noWrap/>
            <w:vAlign w:val="bottom"/>
            <w:hideMark/>
          </w:tcPr>
          <w:p w14:paraId="285E0750" w14:textId="77777777" w:rsidR="007A3EC4" w:rsidRDefault="007A3EC4">
            <w:pPr>
              <w:jc w:val="center"/>
              <w:rPr>
                <w:rFonts w:ascii="Calibri" w:eastAsia="Times New Roman" w:hAnsi="Calibri" w:cs="Calibri"/>
                <w:color w:val="000000"/>
                <w:sz w:val="21"/>
              </w:rPr>
            </w:pPr>
            <w:r>
              <w:rPr>
                <w:rFonts w:ascii="Calibri" w:eastAsia="Times New Roman" w:hAnsi="Calibri" w:cs="Calibri"/>
                <w:color w:val="000000"/>
                <w:sz w:val="21"/>
              </w:rPr>
              <w:t>3</w:t>
            </w:r>
            <w:r>
              <w:rPr>
                <w:rFonts w:ascii="Calibri" w:eastAsia="Times New Roman" w:hAnsi="Calibri" w:cs="Calibri"/>
                <w:color w:val="000000"/>
                <w:sz w:val="21"/>
                <w:vertAlign w:val="superscript"/>
              </w:rPr>
              <w:t>rd</w:t>
            </w:r>
            <w:r>
              <w:rPr>
                <w:rFonts w:ascii="Calibri" w:eastAsia="Times New Roman" w:hAnsi="Calibri" w:cs="Calibri"/>
                <w:color w:val="000000"/>
                <w:sz w:val="21"/>
              </w:rPr>
              <w:t xml:space="preserve"> offense: Delinquent act</w:t>
            </w:r>
          </w:p>
        </w:tc>
        <w:tc>
          <w:tcPr>
            <w:tcW w:w="3790" w:type="dxa"/>
            <w:tcBorders>
              <w:top w:val="nil"/>
              <w:left w:val="nil"/>
              <w:bottom w:val="single" w:sz="8" w:space="0" w:color="auto"/>
              <w:right w:val="single" w:sz="8" w:space="0" w:color="auto"/>
            </w:tcBorders>
            <w:noWrap/>
            <w:vAlign w:val="bottom"/>
            <w:hideMark/>
          </w:tcPr>
          <w:p w14:paraId="3A4B4CB3" w14:textId="77777777" w:rsidR="007A3EC4" w:rsidRDefault="007A3EC4">
            <w:pPr>
              <w:rPr>
                <w:rFonts w:ascii="Calibri" w:eastAsia="Times New Roman" w:hAnsi="Calibri" w:cs="Calibri"/>
                <w:color w:val="000000"/>
                <w:sz w:val="21"/>
              </w:rPr>
            </w:pPr>
          </w:p>
        </w:tc>
      </w:tr>
      <w:tr w:rsidR="007A3EC4" w14:paraId="368E191F" w14:textId="77777777" w:rsidTr="00BD372B">
        <w:trPr>
          <w:trHeight w:val="270"/>
        </w:trPr>
        <w:tc>
          <w:tcPr>
            <w:tcW w:w="952" w:type="dxa"/>
            <w:vMerge w:val="restart"/>
            <w:tcBorders>
              <w:top w:val="nil"/>
              <w:left w:val="single" w:sz="8" w:space="0" w:color="auto"/>
              <w:bottom w:val="single" w:sz="8" w:space="0" w:color="000000"/>
              <w:right w:val="nil"/>
            </w:tcBorders>
            <w:noWrap/>
            <w:vAlign w:val="center"/>
            <w:hideMark/>
          </w:tcPr>
          <w:p w14:paraId="68CDE72F" w14:textId="77777777" w:rsidR="007A3EC4" w:rsidRDefault="007A3EC4">
            <w:pPr>
              <w:jc w:val="center"/>
              <w:rPr>
                <w:rFonts w:ascii="Calibri" w:eastAsia="Times New Roman" w:hAnsi="Calibri" w:cs="Calibri"/>
                <w:color w:val="000000"/>
                <w:sz w:val="21"/>
                <w:szCs w:val="22"/>
              </w:rPr>
            </w:pPr>
            <w:r>
              <w:rPr>
                <w:rFonts w:ascii="Calibri" w:eastAsia="Times New Roman" w:hAnsi="Calibri" w:cs="Calibri"/>
                <w:color w:val="000000"/>
                <w:sz w:val="21"/>
              </w:rPr>
              <w:t>18-20</w:t>
            </w:r>
          </w:p>
        </w:tc>
        <w:tc>
          <w:tcPr>
            <w:tcW w:w="5179"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3E2AF3E1" w14:textId="77777777" w:rsidR="007A3EC4" w:rsidRDefault="007A3EC4">
            <w:pPr>
              <w:jc w:val="center"/>
              <w:rPr>
                <w:rFonts w:ascii="Calibri" w:eastAsia="Times New Roman" w:hAnsi="Calibri" w:cs="Calibri"/>
                <w:color w:val="000000"/>
                <w:sz w:val="21"/>
              </w:rPr>
            </w:pPr>
            <w:r w:rsidRPr="00BD372B">
              <w:rPr>
                <w:rFonts w:ascii="Calibri" w:eastAsia="Times New Roman" w:hAnsi="Calibri" w:cs="Calibri"/>
                <w:color w:val="000000"/>
                <w:sz w:val="21"/>
              </w:rPr>
              <w:t>CGS Sec. 21a-279a(c)</w:t>
            </w:r>
          </w:p>
        </w:tc>
        <w:tc>
          <w:tcPr>
            <w:tcW w:w="3790" w:type="dxa"/>
            <w:tcBorders>
              <w:top w:val="nil"/>
              <w:left w:val="nil"/>
              <w:bottom w:val="nil"/>
              <w:right w:val="single" w:sz="8" w:space="0" w:color="auto"/>
            </w:tcBorders>
            <w:noWrap/>
            <w:vAlign w:val="center"/>
            <w:hideMark/>
          </w:tcPr>
          <w:p w14:paraId="10DAD79B" w14:textId="77777777" w:rsidR="007A3EC4" w:rsidRDefault="007A3EC4">
            <w:pPr>
              <w:jc w:val="center"/>
              <w:rPr>
                <w:rFonts w:ascii="Calibri" w:eastAsia="Times New Roman" w:hAnsi="Calibri" w:cs="Calibri"/>
                <w:color w:val="000000"/>
                <w:sz w:val="21"/>
              </w:rPr>
            </w:pPr>
            <w:r w:rsidRPr="00BD372B">
              <w:rPr>
                <w:rFonts w:ascii="Calibri" w:eastAsia="Times New Roman" w:hAnsi="Calibri" w:cs="Calibri"/>
                <w:color w:val="000000"/>
                <w:sz w:val="21"/>
              </w:rPr>
              <w:t>CGS Sec. 21a-279a (e)</w:t>
            </w:r>
          </w:p>
        </w:tc>
      </w:tr>
      <w:tr w:rsidR="007A3EC4" w14:paraId="4A69C03C" w14:textId="77777777" w:rsidTr="007A3EC4">
        <w:trPr>
          <w:trHeight w:val="270"/>
        </w:trPr>
        <w:tc>
          <w:tcPr>
            <w:tcW w:w="0" w:type="auto"/>
            <w:vMerge/>
            <w:tcBorders>
              <w:top w:val="nil"/>
              <w:left w:val="single" w:sz="8" w:space="0" w:color="auto"/>
              <w:bottom w:val="single" w:sz="8" w:space="0" w:color="000000"/>
              <w:right w:val="nil"/>
            </w:tcBorders>
            <w:vAlign w:val="center"/>
            <w:hideMark/>
          </w:tcPr>
          <w:p w14:paraId="04667C81" w14:textId="77777777" w:rsidR="007A3EC4" w:rsidRDefault="007A3EC4">
            <w:pPr>
              <w:spacing w:line="256" w:lineRule="auto"/>
              <w:rPr>
                <w:rFonts w:ascii="Calibri" w:eastAsia="Times New Roman" w:hAnsi="Calibri" w:cs="Calibri"/>
                <w:color w:val="000000"/>
                <w:sz w:val="21"/>
                <w:szCs w:val="22"/>
              </w:rPr>
            </w:pPr>
          </w:p>
        </w:tc>
        <w:tc>
          <w:tcPr>
            <w:tcW w:w="5179" w:type="dxa"/>
            <w:gridSpan w:val="2"/>
            <w:tcBorders>
              <w:top w:val="nil"/>
              <w:left w:val="single" w:sz="8" w:space="0" w:color="auto"/>
              <w:bottom w:val="nil"/>
              <w:right w:val="single" w:sz="8" w:space="0" w:color="000000"/>
            </w:tcBorders>
            <w:noWrap/>
            <w:vAlign w:val="bottom"/>
            <w:hideMark/>
          </w:tcPr>
          <w:p w14:paraId="6AC303DA" w14:textId="77777777" w:rsidR="007A3EC4" w:rsidRDefault="007A3EC4">
            <w:pPr>
              <w:jc w:val="center"/>
              <w:rPr>
                <w:rFonts w:ascii="Calibri" w:eastAsia="Times New Roman" w:hAnsi="Calibri" w:cs="Calibri"/>
                <w:color w:val="000000"/>
                <w:sz w:val="21"/>
              </w:rPr>
            </w:pPr>
            <w:r>
              <w:rPr>
                <w:rFonts w:ascii="Calibri" w:eastAsia="Times New Roman" w:hAnsi="Calibri" w:cs="Calibri"/>
                <w:color w:val="000000"/>
                <w:sz w:val="21"/>
              </w:rPr>
              <w:t>Sign health statement and:</w:t>
            </w:r>
          </w:p>
        </w:tc>
        <w:tc>
          <w:tcPr>
            <w:tcW w:w="3790" w:type="dxa"/>
            <w:tcBorders>
              <w:top w:val="nil"/>
              <w:left w:val="nil"/>
              <w:bottom w:val="nil"/>
              <w:right w:val="single" w:sz="8" w:space="0" w:color="auto"/>
            </w:tcBorders>
            <w:noWrap/>
            <w:vAlign w:val="center"/>
            <w:hideMark/>
          </w:tcPr>
          <w:p w14:paraId="5677BBBA" w14:textId="77777777" w:rsidR="007A3EC4" w:rsidRDefault="007A3EC4">
            <w:pPr>
              <w:jc w:val="center"/>
              <w:rPr>
                <w:rFonts w:ascii="Calibri" w:eastAsia="Times New Roman" w:hAnsi="Calibri" w:cs="Calibri"/>
                <w:color w:val="000000"/>
                <w:sz w:val="21"/>
              </w:rPr>
            </w:pPr>
            <w:r>
              <w:rPr>
                <w:rFonts w:ascii="Calibri" w:eastAsia="Times New Roman" w:hAnsi="Calibri" w:cs="Calibri"/>
                <w:color w:val="000000"/>
                <w:sz w:val="21"/>
              </w:rPr>
              <w:t>1</w:t>
            </w:r>
            <w:r>
              <w:rPr>
                <w:rFonts w:ascii="Calibri" w:eastAsia="Times New Roman" w:hAnsi="Calibri" w:cs="Calibri"/>
                <w:color w:val="000000"/>
                <w:sz w:val="21"/>
                <w:vertAlign w:val="superscript"/>
              </w:rPr>
              <w:t>st</w:t>
            </w:r>
            <w:r>
              <w:rPr>
                <w:rFonts w:ascii="Calibri" w:eastAsia="Times New Roman" w:hAnsi="Calibri" w:cs="Calibri"/>
                <w:color w:val="000000"/>
                <w:sz w:val="21"/>
              </w:rPr>
              <w:t xml:space="preserve"> offense: $500;</w:t>
            </w:r>
          </w:p>
        </w:tc>
      </w:tr>
      <w:tr w:rsidR="007A3EC4" w14:paraId="38C492E9" w14:textId="77777777" w:rsidTr="007A3EC4">
        <w:trPr>
          <w:trHeight w:val="270"/>
        </w:trPr>
        <w:tc>
          <w:tcPr>
            <w:tcW w:w="0" w:type="auto"/>
            <w:vMerge/>
            <w:tcBorders>
              <w:top w:val="nil"/>
              <w:left w:val="single" w:sz="8" w:space="0" w:color="auto"/>
              <w:bottom w:val="single" w:sz="8" w:space="0" w:color="000000"/>
              <w:right w:val="nil"/>
            </w:tcBorders>
            <w:vAlign w:val="center"/>
            <w:hideMark/>
          </w:tcPr>
          <w:p w14:paraId="5600ACB1" w14:textId="77777777" w:rsidR="007A3EC4" w:rsidRDefault="007A3EC4">
            <w:pPr>
              <w:spacing w:line="256" w:lineRule="auto"/>
              <w:rPr>
                <w:rFonts w:ascii="Calibri" w:eastAsia="Times New Roman" w:hAnsi="Calibri" w:cs="Calibri"/>
                <w:color w:val="000000"/>
                <w:sz w:val="21"/>
                <w:szCs w:val="22"/>
              </w:rPr>
            </w:pPr>
          </w:p>
        </w:tc>
        <w:tc>
          <w:tcPr>
            <w:tcW w:w="5179" w:type="dxa"/>
            <w:gridSpan w:val="2"/>
            <w:tcBorders>
              <w:top w:val="nil"/>
              <w:left w:val="single" w:sz="8" w:space="0" w:color="auto"/>
              <w:bottom w:val="nil"/>
              <w:right w:val="single" w:sz="8" w:space="0" w:color="000000"/>
            </w:tcBorders>
            <w:noWrap/>
            <w:vAlign w:val="bottom"/>
            <w:hideMark/>
          </w:tcPr>
          <w:p w14:paraId="72EDD58B" w14:textId="77777777" w:rsidR="007A3EC4" w:rsidRDefault="007A3EC4">
            <w:pPr>
              <w:jc w:val="center"/>
              <w:rPr>
                <w:rFonts w:ascii="Calibri" w:eastAsia="Times New Roman" w:hAnsi="Calibri" w:cs="Calibri"/>
                <w:color w:val="000000"/>
                <w:sz w:val="21"/>
              </w:rPr>
            </w:pPr>
            <w:r>
              <w:rPr>
                <w:rFonts w:ascii="Calibri" w:eastAsia="Times New Roman" w:hAnsi="Calibri" w:cs="Calibri"/>
                <w:color w:val="000000"/>
                <w:sz w:val="21"/>
              </w:rPr>
              <w:t>1</w:t>
            </w:r>
            <w:r>
              <w:rPr>
                <w:rFonts w:ascii="Calibri" w:eastAsia="Times New Roman" w:hAnsi="Calibri" w:cs="Calibri"/>
                <w:color w:val="000000"/>
                <w:sz w:val="21"/>
                <w:vertAlign w:val="superscript"/>
              </w:rPr>
              <w:t>st</w:t>
            </w:r>
            <w:r>
              <w:rPr>
                <w:rFonts w:ascii="Calibri" w:eastAsia="Times New Roman" w:hAnsi="Calibri" w:cs="Calibri"/>
                <w:color w:val="000000"/>
                <w:sz w:val="21"/>
              </w:rPr>
              <w:t xml:space="preserve"> offense: $50</w:t>
            </w:r>
          </w:p>
        </w:tc>
        <w:tc>
          <w:tcPr>
            <w:tcW w:w="3790" w:type="dxa"/>
            <w:tcBorders>
              <w:top w:val="nil"/>
              <w:left w:val="nil"/>
              <w:bottom w:val="nil"/>
              <w:right w:val="single" w:sz="8" w:space="0" w:color="auto"/>
            </w:tcBorders>
            <w:noWrap/>
            <w:vAlign w:val="center"/>
            <w:hideMark/>
          </w:tcPr>
          <w:p w14:paraId="29262E22" w14:textId="77777777" w:rsidR="007A3EC4" w:rsidRDefault="007A3EC4">
            <w:pPr>
              <w:jc w:val="center"/>
              <w:rPr>
                <w:rFonts w:ascii="Calibri" w:eastAsia="Times New Roman" w:hAnsi="Calibri" w:cs="Calibri"/>
                <w:color w:val="000000"/>
                <w:sz w:val="21"/>
              </w:rPr>
            </w:pPr>
            <w:r>
              <w:rPr>
                <w:rFonts w:ascii="Calibri" w:eastAsia="Times New Roman" w:hAnsi="Calibri" w:cs="Calibri"/>
                <w:color w:val="000000"/>
                <w:sz w:val="21"/>
              </w:rPr>
              <w:t>2</w:t>
            </w:r>
            <w:r>
              <w:rPr>
                <w:rFonts w:ascii="Calibri" w:eastAsia="Times New Roman" w:hAnsi="Calibri" w:cs="Calibri"/>
                <w:color w:val="000000"/>
                <w:sz w:val="21"/>
                <w:vertAlign w:val="superscript"/>
              </w:rPr>
              <w:t>nd</w:t>
            </w:r>
            <w:r>
              <w:rPr>
                <w:rFonts w:ascii="Calibri" w:eastAsia="Times New Roman" w:hAnsi="Calibri" w:cs="Calibri"/>
                <w:color w:val="000000"/>
                <w:sz w:val="21"/>
              </w:rPr>
              <w:t xml:space="preserve"> offense: Class D misdemeanor</w:t>
            </w:r>
          </w:p>
        </w:tc>
      </w:tr>
      <w:tr w:rsidR="007A3EC4" w14:paraId="74BE68E7" w14:textId="77777777" w:rsidTr="007A3EC4">
        <w:trPr>
          <w:trHeight w:val="283"/>
        </w:trPr>
        <w:tc>
          <w:tcPr>
            <w:tcW w:w="0" w:type="auto"/>
            <w:vMerge/>
            <w:tcBorders>
              <w:top w:val="nil"/>
              <w:left w:val="single" w:sz="8" w:space="0" w:color="auto"/>
              <w:bottom w:val="single" w:sz="8" w:space="0" w:color="000000"/>
              <w:right w:val="nil"/>
            </w:tcBorders>
            <w:vAlign w:val="center"/>
            <w:hideMark/>
          </w:tcPr>
          <w:p w14:paraId="6844D633" w14:textId="77777777" w:rsidR="007A3EC4" w:rsidRDefault="007A3EC4">
            <w:pPr>
              <w:spacing w:line="256" w:lineRule="auto"/>
              <w:rPr>
                <w:rFonts w:ascii="Calibri" w:eastAsia="Times New Roman" w:hAnsi="Calibri" w:cs="Calibri"/>
                <w:color w:val="000000"/>
                <w:sz w:val="21"/>
                <w:szCs w:val="22"/>
              </w:rPr>
            </w:pPr>
          </w:p>
        </w:tc>
        <w:tc>
          <w:tcPr>
            <w:tcW w:w="5179" w:type="dxa"/>
            <w:gridSpan w:val="2"/>
            <w:tcBorders>
              <w:top w:val="nil"/>
              <w:left w:val="single" w:sz="8" w:space="0" w:color="auto"/>
              <w:bottom w:val="single" w:sz="8" w:space="0" w:color="auto"/>
              <w:right w:val="single" w:sz="8" w:space="0" w:color="000000"/>
            </w:tcBorders>
            <w:noWrap/>
            <w:vAlign w:val="bottom"/>
            <w:hideMark/>
          </w:tcPr>
          <w:p w14:paraId="33DA4F66" w14:textId="77777777" w:rsidR="007A3EC4" w:rsidRDefault="007A3EC4">
            <w:pPr>
              <w:jc w:val="center"/>
              <w:rPr>
                <w:rFonts w:ascii="Calibri" w:eastAsia="Times New Roman" w:hAnsi="Calibri" w:cs="Calibri"/>
                <w:color w:val="000000"/>
                <w:sz w:val="21"/>
              </w:rPr>
            </w:pPr>
            <w:r>
              <w:rPr>
                <w:rFonts w:ascii="Calibri" w:eastAsia="Times New Roman" w:hAnsi="Calibri" w:cs="Calibri"/>
                <w:color w:val="000000"/>
                <w:sz w:val="21"/>
              </w:rPr>
              <w:t>2</w:t>
            </w:r>
            <w:r>
              <w:rPr>
                <w:rFonts w:ascii="Calibri" w:eastAsia="Times New Roman" w:hAnsi="Calibri" w:cs="Calibri"/>
                <w:color w:val="000000"/>
                <w:sz w:val="21"/>
                <w:vertAlign w:val="superscript"/>
              </w:rPr>
              <w:t>nd</w:t>
            </w:r>
            <w:r>
              <w:rPr>
                <w:rFonts w:ascii="Calibri" w:eastAsia="Times New Roman" w:hAnsi="Calibri" w:cs="Calibri"/>
                <w:color w:val="000000"/>
                <w:sz w:val="21"/>
              </w:rPr>
              <w:t xml:space="preserve"> offense: $150</w:t>
            </w:r>
          </w:p>
        </w:tc>
        <w:tc>
          <w:tcPr>
            <w:tcW w:w="3790" w:type="dxa"/>
            <w:tcBorders>
              <w:top w:val="nil"/>
              <w:left w:val="nil"/>
              <w:bottom w:val="single" w:sz="8" w:space="0" w:color="auto"/>
              <w:right w:val="single" w:sz="8" w:space="0" w:color="auto"/>
            </w:tcBorders>
            <w:noWrap/>
            <w:vAlign w:val="center"/>
            <w:hideMark/>
          </w:tcPr>
          <w:p w14:paraId="5924D2F8" w14:textId="77777777" w:rsidR="007A3EC4" w:rsidRDefault="007A3EC4">
            <w:pPr>
              <w:rPr>
                <w:rFonts w:ascii="Calibri" w:eastAsia="Times New Roman" w:hAnsi="Calibri" w:cs="Calibri"/>
                <w:color w:val="000000"/>
                <w:sz w:val="21"/>
              </w:rPr>
            </w:pPr>
          </w:p>
        </w:tc>
      </w:tr>
      <w:tr w:rsidR="007A3EC4" w14:paraId="4555BAEE" w14:textId="77777777" w:rsidTr="007A3EC4">
        <w:trPr>
          <w:trHeight w:val="270"/>
        </w:trPr>
        <w:tc>
          <w:tcPr>
            <w:tcW w:w="952" w:type="dxa"/>
            <w:vMerge w:val="restart"/>
            <w:tcBorders>
              <w:top w:val="nil"/>
              <w:left w:val="single" w:sz="8" w:space="0" w:color="auto"/>
              <w:bottom w:val="single" w:sz="8" w:space="0" w:color="000000"/>
              <w:right w:val="single" w:sz="8" w:space="0" w:color="auto"/>
            </w:tcBorders>
            <w:noWrap/>
            <w:vAlign w:val="center"/>
            <w:hideMark/>
          </w:tcPr>
          <w:p w14:paraId="47CB6CF0" w14:textId="77777777" w:rsidR="007A3EC4" w:rsidRDefault="007A3EC4">
            <w:pPr>
              <w:jc w:val="center"/>
              <w:rPr>
                <w:rFonts w:ascii="Calibri" w:eastAsia="Times New Roman" w:hAnsi="Calibri" w:cs="Calibri"/>
                <w:color w:val="000000"/>
                <w:sz w:val="21"/>
                <w:szCs w:val="22"/>
              </w:rPr>
            </w:pPr>
            <w:r>
              <w:rPr>
                <w:rFonts w:ascii="Calibri" w:eastAsia="Times New Roman" w:hAnsi="Calibri" w:cs="Calibri"/>
                <w:color w:val="000000"/>
                <w:sz w:val="21"/>
              </w:rPr>
              <w:t>21+</w:t>
            </w:r>
          </w:p>
        </w:tc>
        <w:tc>
          <w:tcPr>
            <w:tcW w:w="2525" w:type="dxa"/>
            <w:vMerge w:val="restart"/>
            <w:tcBorders>
              <w:top w:val="nil"/>
              <w:left w:val="single" w:sz="8" w:space="0" w:color="auto"/>
              <w:bottom w:val="single" w:sz="8" w:space="0" w:color="000000"/>
              <w:right w:val="single" w:sz="8" w:space="0" w:color="auto"/>
            </w:tcBorders>
            <w:noWrap/>
            <w:vAlign w:val="center"/>
            <w:hideMark/>
          </w:tcPr>
          <w:p w14:paraId="621F1950" w14:textId="77777777" w:rsidR="007A3EC4" w:rsidRDefault="007A3EC4">
            <w:pPr>
              <w:jc w:val="center"/>
              <w:rPr>
                <w:rFonts w:ascii="Calibri" w:eastAsia="Times New Roman" w:hAnsi="Calibri" w:cs="Calibri"/>
                <w:color w:val="000000"/>
                <w:sz w:val="21"/>
              </w:rPr>
            </w:pPr>
            <w:r>
              <w:rPr>
                <w:rFonts w:ascii="Calibri" w:eastAsia="Times New Roman" w:hAnsi="Calibri" w:cs="Calibri"/>
                <w:color w:val="000000"/>
                <w:sz w:val="21"/>
              </w:rPr>
              <w:t>CGS Sec. 21a-279a(a)</w:t>
            </w:r>
          </w:p>
          <w:p w14:paraId="5E1B0201" w14:textId="77777777" w:rsidR="007A3EC4" w:rsidRDefault="007A3EC4">
            <w:pPr>
              <w:jc w:val="center"/>
              <w:rPr>
                <w:rFonts w:ascii="Calibri" w:eastAsia="Times New Roman" w:hAnsi="Calibri" w:cs="Calibri"/>
                <w:color w:val="000000"/>
                <w:sz w:val="21"/>
              </w:rPr>
            </w:pPr>
            <w:r>
              <w:rPr>
                <w:rFonts w:ascii="Calibri" w:eastAsia="Times New Roman" w:hAnsi="Calibri" w:cs="Calibri"/>
                <w:color w:val="000000"/>
                <w:sz w:val="21"/>
              </w:rPr>
              <w:t>Legal</w:t>
            </w:r>
          </w:p>
        </w:tc>
        <w:tc>
          <w:tcPr>
            <w:tcW w:w="2654" w:type="dxa"/>
            <w:tcBorders>
              <w:top w:val="nil"/>
              <w:left w:val="nil"/>
              <w:bottom w:val="nil"/>
              <w:right w:val="single" w:sz="8" w:space="0" w:color="auto"/>
            </w:tcBorders>
            <w:noWrap/>
            <w:vAlign w:val="bottom"/>
            <w:hideMark/>
          </w:tcPr>
          <w:p w14:paraId="4D28C870" w14:textId="77777777" w:rsidR="007A3EC4" w:rsidRDefault="007A3EC4">
            <w:pPr>
              <w:jc w:val="center"/>
              <w:rPr>
                <w:rFonts w:ascii="Calibri" w:eastAsia="Times New Roman" w:hAnsi="Calibri" w:cs="Calibri"/>
                <w:color w:val="000000"/>
                <w:sz w:val="21"/>
              </w:rPr>
            </w:pPr>
            <w:r w:rsidRPr="00BD372B">
              <w:rPr>
                <w:rFonts w:ascii="Calibri" w:eastAsia="Times New Roman" w:hAnsi="Calibri" w:cs="Calibri"/>
                <w:color w:val="000000"/>
                <w:sz w:val="21"/>
              </w:rPr>
              <w:t>CGS Sec. 21a-279a(d)</w:t>
            </w:r>
          </w:p>
        </w:tc>
        <w:tc>
          <w:tcPr>
            <w:tcW w:w="3790" w:type="dxa"/>
            <w:tcBorders>
              <w:top w:val="nil"/>
              <w:left w:val="nil"/>
              <w:bottom w:val="nil"/>
              <w:right w:val="single" w:sz="8" w:space="0" w:color="auto"/>
            </w:tcBorders>
            <w:noWrap/>
            <w:vAlign w:val="center"/>
            <w:hideMark/>
          </w:tcPr>
          <w:p w14:paraId="309E55FE" w14:textId="77777777" w:rsidR="007A3EC4" w:rsidRDefault="007A3EC4">
            <w:pPr>
              <w:jc w:val="center"/>
              <w:rPr>
                <w:rFonts w:ascii="Calibri" w:eastAsia="Times New Roman" w:hAnsi="Calibri" w:cs="Calibri"/>
                <w:color w:val="000000"/>
                <w:sz w:val="21"/>
              </w:rPr>
            </w:pPr>
            <w:r w:rsidRPr="00BD372B">
              <w:rPr>
                <w:rFonts w:ascii="Calibri" w:eastAsia="Times New Roman" w:hAnsi="Calibri" w:cs="Calibri"/>
                <w:color w:val="000000"/>
                <w:sz w:val="21"/>
              </w:rPr>
              <w:t>CGS Sec. 21a-279a (e)</w:t>
            </w:r>
          </w:p>
        </w:tc>
      </w:tr>
      <w:tr w:rsidR="007A3EC4" w14:paraId="635FD70F" w14:textId="77777777" w:rsidTr="007A3EC4">
        <w:trPr>
          <w:trHeight w:val="270"/>
        </w:trPr>
        <w:tc>
          <w:tcPr>
            <w:tcW w:w="0" w:type="auto"/>
            <w:vMerge/>
            <w:tcBorders>
              <w:top w:val="nil"/>
              <w:left w:val="single" w:sz="8" w:space="0" w:color="auto"/>
              <w:bottom w:val="single" w:sz="8" w:space="0" w:color="000000"/>
              <w:right w:val="single" w:sz="8" w:space="0" w:color="auto"/>
            </w:tcBorders>
            <w:vAlign w:val="center"/>
            <w:hideMark/>
          </w:tcPr>
          <w:p w14:paraId="04F10525" w14:textId="77777777" w:rsidR="007A3EC4" w:rsidRDefault="007A3EC4">
            <w:pPr>
              <w:spacing w:line="256" w:lineRule="auto"/>
              <w:rPr>
                <w:rFonts w:ascii="Calibri" w:eastAsia="Times New Roman" w:hAnsi="Calibri" w:cs="Calibri"/>
                <w:color w:val="000000"/>
                <w:sz w:val="21"/>
                <w:szCs w:val="22"/>
              </w:rPr>
            </w:pPr>
          </w:p>
        </w:tc>
        <w:tc>
          <w:tcPr>
            <w:tcW w:w="0" w:type="auto"/>
            <w:vMerge/>
            <w:tcBorders>
              <w:top w:val="nil"/>
              <w:left w:val="single" w:sz="8" w:space="0" w:color="auto"/>
              <w:bottom w:val="single" w:sz="8" w:space="0" w:color="000000"/>
              <w:right w:val="single" w:sz="8" w:space="0" w:color="auto"/>
            </w:tcBorders>
            <w:vAlign w:val="center"/>
            <w:hideMark/>
          </w:tcPr>
          <w:p w14:paraId="2D5F1743" w14:textId="77777777" w:rsidR="007A3EC4" w:rsidRDefault="007A3EC4">
            <w:pPr>
              <w:spacing w:line="256" w:lineRule="auto"/>
              <w:rPr>
                <w:rFonts w:ascii="Calibri" w:eastAsia="Times New Roman" w:hAnsi="Calibri" w:cs="Calibri"/>
                <w:color w:val="000000"/>
                <w:sz w:val="21"/>
                <w:szCs w:val="22"/>
              </w:rPr>
            </w:pPr>
          </w:p>
        </w:tc>
        <w:tc>
          <w:tcPr>
            <w:tcW w:w="2654" w:type="dxa"/>
            <w:tcBorders>
              <w:top w:val="nil"/>
              <w:left w:val="nil"/>
              <w:bottom w:val="nil"/>
              <w:right w:val="single" w:sz="8" w:space="0" w:color="auto"/>
            </w:tcBorders>
            <w:noWrap/>
            <w:vAlign w:val="center"/>
            <w:hideMark/>
          </w:tcPr>
          <w:p w14:paraId="340C2F5F" w14:textId="77777777" w:rsidR="007A3EC4" w:rsidRDefault="007A3EC4">
            <w:pPr>
              <w:jc w:val="center"/>
              <w:rPr>
                <w:rFonts w:ascii="Calibri" w:eastAsia="Times New Roman" w:hAnsi="Calibri" w:cs="Calibri"/>
                <w:color w:val="000000"/>
                <w:sz w:val="21"/>
              </w:rPr>
            </w:pPr>
            <w:r>
              <w:rPr>
                <w:rFonts w:ascii="Calibri" w:eastAsia="Times New Roman" w:hAnsi="Calibri" w:cs="Calibri"/>
                <w:color w:val="000000"/>
                <w:sz w:val="21"/>
              </w:rPr>
              <w:t>1</w:t>
            </w:r>
            <w:r>
              <w:rPr>
                <w:rFonts w:ascii="Calibri" w:eastAsia="Times New Roman" w:hAnsi="Calibri" w:cs="Calibri"/>
                <w:color w:val="000000"/>
                <w:sz w:val="21"/>
                <w:vertAlign w:val="superscript"/>
              </w:rPr>
              <w:t>st</w:t>
            </w:r>
            <w:r>
              <w:rPr>
                <w:rFonts w:ascii="Calibri" w:eastAsia="Times New Roman" w:hAnsi="Calibri" w:cs="Calibri"/>
                <w:color w:val="000000"/>
                <w:sz w:val="21"/>
              </w:rPr>
              <w:t xml:space="preserve"> offense: $100</w:t>
            </w:r>
          </w:p>
        </w:tc>
        <w:tc>
          <w:tcPr>
            <w:tcW w:w="3790" w:type="dxa"/>
            <w:tcBorders>
              <w:top w:val="nil"/>
              <w:left w:val="nil"/>
              <w:bottom w:val="nil"/>
              <w:right w:val="single" w:sz="8" w:space="0" w:color="auto"/>
            </w:tcBorders>
            <w:noWrap/>
            <w:vAlign w:val="center"/>
            <w:hideMark/>
          </w:tcPr>
          <w:p w14:paraId="528214AB" w14:textId="77777777" w:rsidR="007A3EC4" w:rsidRDefault="007A3EC4">
            <w:pPr>
              <w:jc w:val="center"/>
              <w:rPr>
                <w:rFonts w:ascii="Calibri" w:eastAsia="Times New Roman" w:hAnsi="Calibri" w:cs="Calibri"/>
                <w:color w:val="000000"/>
                <w:sz w:val="21"/>
              </w:rPr>
            </w:pPr>
            <w:r>
              <w:rPr>
                <w:rFonts w:ascii="Calibri" w:eastAsia="Times New Roman" w:hAnsi="Calibri" w:cs="Calibri"/>
                <w:color w:val="000000"/>
                <w:sz w:val="21"/>
              </w:rPr>
              <w:t>1</w:t>
            </w:r>
            <w:r>
              <w:rPr>
                <w:rFonts w:ascii="Calibri" w:eastAsia="Times New Roman" w:hAnsi="Calibri" w:cs="Calibri"/>
                <w:color w:val="000000"/>
                <w:sz w:val="21"/>
                <w:vertAlign w:val="superscript"/>
              </w:rPr>
              <w:t>st</w:t>
            </w:r>
            <w:r>
              <w:rPr>
                <w:rFonts w:ascii="Calibri" w:eastAsia="Times New Roman" w:hAnsi="Calibri" w:cs="Calibri"/>
                <w:color w:val="000000"/>
                <w:sz w:val="21"/>
              </w:rPr>
              <w:t xml:space="preserve"> offense: $500;</w:t>
            </w:r>
          </w:p>
        </w:tc>
      </w:tr>
      <w:tr w:rsidR="007A3EC4" w14:paraId="7D85078D" w14:textId="77777777" w:rsidTr="007A3EC4">
        <w:trPr>
          <w:trHeight w:val="283"/>
        </w:trPr>
        <w:tc>
          <w:tcPr>
            <w:tcW w:w="0" w:type="auto"/>
            <w:vMerge/>
            <w:tcBorders>
              <w:top w:val="nil"/>
              <w:left w:val="single" w:sz="8" w:space="0" w:color="auto"/>
              <w:bottom w:val="single" w:sz="8" w:space="0" w:color="000000"/>
              <w:right w:val="single" w:sz="8" w:space="0" w:color="auto"/>
            </w:tcBorders>
            <w:vAlign w:val="center"/>
            <w:hideMark/>
          </w:tcPr>
          <w:p w14:paraId="6ECA4CB6" w14:textId="77777777" w:rsidR="007A3EC4" w:rsidRDefault="007A3EC4">
            <w:pPr>
              <w:spacing w:line="256" w:lineRule="auto"/>
              <w:rPr>
                <w:rFonts w:ascii="Calibri" w:eastAsia="Times New Roman" w:hAnsi="Calibri" w:cs="Calibri"/>
                <w:color w:val="000000"/>
                <w:sz w:val="21"/>
                <w:szCs w:val="22"/>
              </w:rPr>
            </w:pPr>
          </w:p>
        </w:tc>
        <w:tc>
          <w:tcPr>
            <w:tcW w:w="0" w:type="auto"/>
            <w:vMerge/>
            <w:tcBorders>
              <w:top w:val="nil"/>
              <w:left w:val="single" w:sz="8" w:space="0" w:color="auto"/>
              <w:bottom w:val="single" w:sz="8" w:space="0" w:color="000000"/>
              <w:right w:val="single" w:sz="8" w:space="0" w:color="auto"/>
            </w:tcBorders>
            <w:vAlign w:val="center"/>
            <w:hideMark/>
          </w:tcPr>
          <w:p w14:paraId="61EDE265" w14:textId="77777777" w:rsidR="007A3EC4" w:rsidRDefault="007A3EC4">
            <w:pPr>
              <w:spacing w:line="256" w:lineRule="auto"/>
              <w:rPr>
                <w:rFonts w:ascii="Calibri" w:eastAsia="Times New Roman" w:hAnsi="Calibri" w:cs="Calibri"/>
                <w:color w:val="000000"/>
                <w:sz w:val="21"/>
                <w:szCs w:val="22"/>
              </w:rPr>
            </w:pPr>
          </w:p>
        </w:tc>
        <w:tc>
          <w:tcPr>
            <w:tcW w:w="2654" w:type="dxa"/>
            <w:tcBorders>
              <w:top w:val="nil"/>
              <w:left w:val="nil"/>
              <w:bottom w:val="single" w:sz="8" w:space="0" w:color="auto"/>
              <w:right w:val="single" w:sz="8" w:space="0" w:color="auto"/>
            </w:tcBorders>
            <w:noWrap/>
            <w:vAlign w:val="center"/>
            <w:hideMark/>
          </w:tcPr>
          <w:p w14:paraId="7E131554" w14:textId="77777777" w:rsidR="007A3EC4" w:rsidRDefault="007A3EC4">
            <w:pPr>
              <w:jc w:val="center"/>
              <w:rPr>
                <w:rFonts w:ascii="Calibri" w:eastAsia="Times New Roman" w:hAnsi="Calibri" w:cs="Calibri"/>
                <w:color w:val="000000"/>
                <w:sz w:val="21"/>
              </w:rPr>
            </w:pPr>
            <w:r>
              <w:rPr>
                <w:rFonts w:ascii="Calibri" w:eastAsia="Times New Roman" w:hAnsi="Calibri" w:cs="Calibri"/>
                <w:color w:val="000000"/>
                <w:sz w:val="21"/>
              </w:rPr>
              <w:t>2</w:t>
            </w:r>
            <w:r>
              <w:rPr>
                <w:rFonts w:ascii="Calibri" w:eastAsia="Times New Roman" w:hAnsi="Calibri" w:cs="Calibri"/>
                <w:color w:val="000000"/>
                <w:sz w:val="21"/>
                <w:vertAlign w:val="superscript"/>
              </w:rPr>
              <w:t>nd</w:t>
            </w:r>
            <w:r>
              <w:rPr>
                <w:rFonts w:ascii="Calibri" w:eastAsia="Times New Roman" w:hAnsi="Calibri" w:cs="Calibri"/>
                <w:color w:val="000000"/>
                <w:sz w:val="21"/>
              </w:rPr>
              <w:t xml:space="preserve"> offense: $250</w:t>
            </w:r>
          </w:p>
        </w:tc>
        <w:tc>
          <w:tcPr>
            <w:tcW w:w="3790" w:type="dxa"/>
            <w:tcBorders>
              <w:top w:val="nil"/>
              <w:left w:val="nil"/>
              <w:bottom w:val="single" w:sz="8" w:space="0" w:color="auto"/>
              <w:right w:val="single" w:sz="8" w:space="0" w:color="auto"/>
            </w:tcBorders>
            <w:noWrap/>
            <w:vAlign w:val="center"/>
            <w:hideMark/>
          </w:tcPr>
          <w:p w14:paraId="3D263326" w14:textId="77777777" w:rsidR="007A3EC4" w:rsidRDefault="007A3EC4">
            <w:pPr>
              <w:jc w:val="center"/>
              <w:rPr>
                <w:rFonts w:ascii="Calibri" w:eastAsia="Times New Roman" w:hAnsi="Calibri" w:cs="Calibri"/>
                <w:color w:val="000000"/>
                <w:sz w:val="21"/>
              </w:rPr>
            </w:pPr>
            <w:r>
              <w:rPr>
                <w:rFonts w:ascii="Calibri" w:eastAsia="Times New Roman" w:hAnsi="Calibri" w:cs="Calibri"/>
                <w:color w:val="000000"/>
                <w:sz w:val="21"/>
              </w:rPr>
              <w:t>2</w:t>
            </w:r>
            <w:r>
              <w:rPr>
                <w:rFonts w:ascii="Calibri" w:eastAsia="Times New Roman" w:hAnsi="Calibri" w:cs="Calibri"/>
                <w:color w:val="000000"/>
                <w:sz w:val="21"/>
                <w:vertAlign w:val="superscript"/>
              </w:rPr>
              <w:t>nd</w:t>
            </w:r>
            <w:r>
              <w:rPr>
                <w:rFonts w:ascii="Calibri" w:eastAsia="Times New Roman" w:hAnsi="Calibri" w:cs="Calibri"/>
                <w:color w:val="000000"/>
                <w:sz w:val="21"/>
              </w:rPr>
              <w:t xml:space="preserve"> offense: Class C misdemeanor</w:t>
            </w:r>
          </w:p>
        </w:tc>
      </w:tr>
    </w:tbl>
    <w:p w14:paraId="737FA8C0" w14:textId="77777777" w:rsidR="007A3EC4" w:rsidRPr="00A5265C" w:rsidRDefault="007A3EC4" w:rsidP="007A3EC4">
      <w:pPr>
        <w:spacing w:before="120"/>
        <w:jc w:val="center"/>
        <w:rPr>
          <w:rFonts w:asciiTheme="minorHAnsi" w:eastAsia="Times New Roman" w:hAnsiTheme="minorHAnsi" w:cstheme="minorBidi"/>
          <w:sz w:val="22"/>
          <w:szCs w:val="22"/>
        </w:rPr>
      </w:pPr>
      <w:r w:rsidRPr="00A5265C">
        <w:rPr>
          <w:rFonts w:eastAsia="Times New Roman"/>
        </w:rPr>
        <w:t>**21</w:t>
      </w:r>
      <w:proofErr w:type="gramStart"/>
      <w:r w:rsidRPr="00A5265C">
        <w:rPr>
          <w:rFonts w:eastAsia="Times New Roman"/>
        </w:rPr>
        <w:t>+</w:t>
      </w:r>
      <w:r w:rsidRPr="00A5265C">
        <w:rPr>
          <w:rFonts w:eastAsia="Times New Roman"/>
          <w:caps/>
        </w:rPr>
        <w:t xml:space="preserve"> </w:t>
      </w:r>
      <w:r w:rsidRPr="00A5265C">
        <w:rPr>
          <w:rFonts w:eastAsia="Times New Roman"/>
        </w:rPr>
        <w:t xml:space="preserve"> may</w:t>
      </w:r>
      <w:proofErr w:type="gramEnd"/>
      <w:r w:rsidRPr="00A5265C">
        <w:rPr>
          <w:rFonts w:eastAsia="Times New Roman"/>
        </w:rPr>
        <w:t xml:space="preserve"> possess up to 1.5 oz. on their person </w:t>
      </w:r>
      <w:r w:rsidRPr="00A5265C">
        <w:rPr>
          <w:rFonts w:eastAsia="Times New Roman"/>
          <w:u w:val="single"/>
        </w:rPr>
        <w:t>or</w:t>
      </w:r>
      <w:r w:rsidRPr="00A5265C">
        <w:rPr>
          <w:rFonts w:eastAsia="Times New Roman"/>
        </w:rPr>
        <w:t xml:space="preserve"> </w:t>
      </w:r>
    </w:p>
    <w:p w14:paraId="0379C9C3" w14:textId="77777777" w:rsidR="007A3EC4" w:rsidRDefault="007A3EC4" w:rsidP="007A3EC4">
      <w:pPr>
        <w:spacing w:before="120"/>
        <w:jc w:val="center"/>
        <w:rPr>
          <w:rFonts w:eastAsia="Times New Roman"/>
          <w:caps/>
        </w:rPr>
      </w:pPr>
      <w:r w:rsidRPr="00A5265C">
        <w:rPr>
          <w:rFonts w:eastAsia="Times New Roman"/>
        </w:rPr>
        <w:t xml:space="preserve">1.5-5 oz. in </w:t>
      </w:r>
      <w:r w:rsidRPr="00A5265C">
        <w:rPr>
          <w:rFonts w:eastAsia="Times New Roman"/>
          <w:b/>
        </w:rPr>
        <w:t>LOCKED</w:t>
      </w:r>
      <w:r w:rsidRPr="00A5265C">
        <w:rPr>
          <w:rFonts w:eastAsia="Times New Roman"/>
        </w:rPr>
        <w:t xml:space="preserve"> container at residence or in </w:t>
      </w:r>
      <w:r w:rsidRPr="00A5265C">
        <w:rPr>
          <w:rFonts w:eastAsia="Times New Roman"/>
          <w:b/>
        </w:rPr>
        <w:t>LOCKED</w:t>
      </w:r>
      <w:r w:rsidRPr="00A5265C">
        <w:rPr>
          <w:rFonts w:eastAsia="Times New Roman"/>
        </w:rPr>
        <w:t xml:space="preserve"> glove box or trunk of vehicle**</w:t>
      </w:r>
    </w:p>
    <w:p w14:paraId="723DE2A0" w14:textId="77777777" w:rsidR="007A3EC4" w:rsidRDefault="007A3EC4" w:rsidP="007A3EC4">
      <w:pPr>
        <w:pStyle w:val="Heading1"/>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Determining Cannabis Amount (CGS Sec. 21a-279a(i</w:t>
      </w:r>
      <w:proofErr w:type="gramStart"/>
      <w:r>
        <w:rPr>
          <w:rFonts w:asciiTheme="minorHAnsi" w:eastAsia="Times New Roman" w:hAnsiTheme="minorHAnsi" w:cstheme="minorHAnsi"/>
          <w:sz w:val="22"/>
          <w:szCs w:val="22"/>
        </w:rPr>
        <w:t>)(</w:t>
      </w:r>
      <w:proofErr w:type="gramEnd"/>
      <w:r>
        <w:rPr>
          <w:rFonts w:asciiTheme="minorHAnsi" w:eastAsia="Times New Roman" w:hAnsiTheme="minorHAnsi" w:cstheme="minorHAnsi"/>
          <w:sz w:val="22"/>
          <w:szCs w:val="22"/>
        </w:rPr>
        <w:t>1-4))</w:t>
      </w:r>
    </w:p>
    <w:tbl>
      <w:tblPr>
        <w:tblStyle w:val="TableGrid"/>
        <w:tblW w:w="0" w:type="auto"/>
        <w:tblInd w:w="715" w:type="dxa"/>
        <w:tblLook w:val="04A0" w:firstRow="1" w:lastRow="0" w:firstColumn="1" w:lastColumn="0" w:noHBand="0" w:noVBand="1"/>
      </w:tblPr>
      <w:tblGrid>
        <w:gridCol w:w="2864"/>
        <w:gridCol w:w="2906"/>
        <w:gridCol w:w="2865"/>
      </w:tblGrid>
      <w:tr w:rsidR="007A3EC4" w14:paraId="7625C00C" w14:textId="77777777" w:rsidTr="007A3EC4">
        <w:trPr>
          <w:trHeight w:val="287"/>
        </w:trPr>
        <w:tc>
          <w:tcPr>
            <w:tcW w:w="9575" w:type="dxa"/>
            <w:gridSpan w:val="3"/>
            <w:tcBorders>
              <w:top w:val="single" w:sz="4" w:space="0" w:color="auto"/>
              <w:left w:val="single" w:sz="4" w:space="0" w:color="auto"/>
              <w:bottom w:val="single" w:sz="4" w:space="0" w:color="auto"/>
              <w:right w:val="single" w:sz="4" w:space="0" w:color="auto"/>
            </w:tcBorders>
            <w:hideMark/>
          </w:tcPr>
          <w:p w14:paraId="4B2C1B72" w14:textId="77777777" w:rsidR="007A3EC4" w:rsidRDefault="007A3EC4">
            <w:pPr>
              <w:jc w:val="center"/>
              <w:rPr>
                <w:rFonts w:ascii="Calibri" w:eastAsiaTheme="minorEastAsia" w:hAnsi="Calibri"/>
                <w:sz w:val="21"/>
                <w:szCs w:val="21"/>
              </w:rPr>
            </w:pPr>
            <w:r>
              <w:rPr>
                <w:rFonts w:ascii="Calibri" w:hAnsi="Calibri"/>
                <w:sz w:val="21"/>
                <w:szCs w:val="21"/>
              </w:rPr>
              <w:t>Cannabis Amount Equivalent Chart</w:t>
            </w:r>
          </w:p>
        </w:tc>
      </w:tr>
      <w:tr w:rsidR="007A3EC4" w14:paraId="40F1CD67" w14:textId="77777777" w:rsidTr="007A3EC4">
        <w:trPr>
          <w:trHeight w:val="271"/>
        </w:trPr>
        <w:tc>
          <w:tcPr>
            <w:tcW w:w="3191" w:type="dxa"/>
            <w:tcBorders>
              <w:top w:val="single" w:sz="4" w:space="0" w:color="auto"/>
              <w:left w:val="single" w:sz="4" w:space="0" w:color="auto"/>
              <w:bottom w:val="single" w:sz="4" w:space="0" w:color="auto"/>
              <w:right w:val="single" w:sz="4" w:space="0" w:color="auto"/>
            </w:tcBorders>
            <w:hideMark/>
          </w:tcPr>
          <w:p w14:paraId="2145922F" w14:textId="77777777" w:rsidR="007A3EC4" w:rsidRDefault="007A3EC4">
            <w:pPr>
              <w:rPr>
                <w:rFonts w:ascii="Calibri" w:hAnsi="Calibri"/>
                <w:sz w:val="21"/>
                <w:szCs w:val="21"/>
              </w:rPr>
            </w:pPr>
            <w:r>
              <w:rPr>
                <w:rFonts w:ascii="Calibri" w:hAnsi="Calibri"/>
                <w:sz w:val="21"/>
                <w:szCs w:val="21"/>
              </w:rPr>
              <w:t>Cannabis Plant Material</w:t>
            </w:r>
          </w:p>
        </w:tc>
        <w:tc>
          <w:tcPr>
            <w:tcW w:w="3192" w:type="dxa"/>
            <w:tcBorders>
              <w:top w:val="single" w:sz="4" w:space="0" w:color="auto"/>
              <w:left w:val="single" w:sz="4" w:space="0" w:color="auto"/>
              <w:bottom w:val="single" w:sz="4" w:space="0" w:color="auto"/>
              <w:right w:val="single" w:sz="4" w:space="0" w:color="auto"/>
            </w:tcBorders>
            <w:hideMark/>
          </w:tcPr>
          <w:p w14:paraId="0505D870" w14:textId="77777777" w:rsidR="007A3EC4" w:rsidRDefault="007A3EC4">
            <w:pPr>
              <w:rPr>
                <w:rFonts w:ascii="Calibri" w:hAnsi="Calibri"/>
                <w:sz w:val="21"/>
                <w:szCs w:val="21"/>
              </w:rPr>
            </w:pPr>
            <w:r>
              <w:rPr>
                <w:rFonts w:ascii="Calibri" w:hAnsi="Calibri"/>
                <w:sz w:val="21"/>
                <w:szCs w:val="21"/>
              </w:rPr>
              <w:t>Cannabis Concentrate</w:t>
            </w:r>
          </w:p>
        </w:tc>
        <w:tc>
          <w:tcPr>
            <w:tcW w:w="3192" w:type="dxa"/>
            <w:tcBorders>
              <w:top w:val="single" w:sz="4" w:space="0" w:color="auto"/>
              <w:left w:val="single" w:sz="4" w:space="0" w:color="auto"/>
              <w:bottom w:val="single" w:sz="4" w:space="0" w:color="auto"/>
              <w:right w:val="single" w:sz="4" w:space="0" w:color="auto"/>
            </w:tcBorders>
            <w:hideMark/>
          </w:tcPr>
          <w:p w14:paraId="4C4CFF7A" w14:textId="77777777" w:rsidR="007A3EC4" w:rsidRDefault="007A3EC4">
            <w:pPr>
              <w:rPr>
                <w:rFonts w:ascii="Calibri" w:hAnsi="Calibri"/>
                <w:sz w:val="21"/>
                <w:szCs w:val="21"/>
              </w:rPr>
            </w:pPr>
            <w:r>
              <w:rPr>
                <w:rFonts w:ascii="Calibri" w:hAnsi="Calibri"/>
                <w:sz w:val="21"/>
                <w:szCs w:val="21"/>
              </w:rPr>
              <w:t>Other Cannabis Product</w:t>
            </w:r>
          </w:p>
        </w:tc>
      </w:tr>
      <w:tr w:rsidR="007A3EC4" w14:paraId="56C64EC2" w14:textId="77777777" w:rsidTr="007A3EC4">
        <w:trPr>
          <w:trHeight w:val="287"/>
        </w:trPr>
        <w:tc>
          <w:tcPr>
            <w:tcW w:w="3191" w:type="dxa"/>
            <w:tcBorders>
              <w:top w:val="single" w:sz="4" w:space="0" w:color="auto"/>
              <w:left w:val="single" w:sz="4" w:space="0" w:color="auto"/>
              <w:bottom w:val="single" w:sz="4" w:space="0" w:color="auto"/>
              <w:right w:val="single" w:sz="4" w:space="0" w:color="auto"/>
            </w:tcBorders>
            <w:hideMark/>
          </w:tcPr>
          <w:p w14:paraId="1761B958" w14:textId="77777777" w:rsidR="007A3EC4" w:rsidRDefault="007A3EC4">
            <w:pPr>
              <w:rPr>
                <w:rFonts w:ascii="Calibri" w:hAnsi="Calibri"/>
                <w:sz w:val="21"/>
                <w:szCs w:val="21"/>
              </w:rPr>
            </w:pPr>
            <w:r>
              <w:rPr>
                <w:rFonts w:ascii="Calibri" w:hAnsi="Calibri"/>
                <w:sz w:val="21"/>
                <w:szCs w:val="21"/>
              </w:rPr>
              <w:t>One Ounce</w:t>
            </w:r>
          </w:p>
        </w:tc>
        <w:tc>
          <w:tcPr>
            <w:tcW w:w="3192" w:type="dxa"/>
            <w:tcBorders>
              <w:top w:val="single" w:sz="4" w:space="0" w:color="auto"/>
              <w:left w:val="single" w:sz="4" w:space="0" w:color="auto"/>
              <w:bottom w:val="single" w:sz="4" w:space="0" w:color="auto"/>
              <w:right w:val="single" w:sz="4" w:space="0" w:color="auto"/>
            </w:tcBorders>
            <w:hideMark/>
          </w:tcPr>
          <w:p w14:paraId="1B101F0A" w14:textId="77777777" w:rsidR="007A3EC4" w:rsidRDefault="007A3EC4">
            <w:pPr>
              <w:rPr>
                <w:rFonts w:ascii="Calibri" w:hAnsi="Calibri"/>
                <w:sz w:val="21"/>
                <w:szCs w:val="21"/>
              </w:rPr>
            </w:pPr>
            <w:r>
              <w:rPr>
                <w:rFonts w:ascii="Calibri" w:hAnsi="Calibri"/>
                <w:sz w:val="21"/>
                <w:szCs w:val="21"/>
              </w:rPr>
              <w:t>5 Grams</w:t>
            </w:r>
          </w:p>
        </w:tc>
        <w:tc>
          <w:tcPr>
            <w:tcW w:w="3192" w:type="dxa"/>
            <w:tcBorders>
              <w:top w:val="single" w:sz="4" w:space="0" w:color="auto"/>
              <w:left w:val="single" w:sz="4" w:space="0" w:color="auto"/>
              <w:bottom w:val="single" w:sz="4" w:space="0" w:color="auto"/>
              <w:right w:val="single" w:sz="4" w:space="0" w:color="auto"/>
            </w:tcBorders>
            <w:hideMark/>
          </w:tcPr>
          <w:p w14:paraId="548393B4" w14:textId="77777777" w:rsidR="007A3EC4" w:rsidRDefault="007A3EC4">
            <w:pPr>
              <w:rPr>
                <w:rFonts w:ascii="Calibri" w:hAnsi="Calibri"/>
                <w:sz w:val="21"/>
                <w:szCs w:val="21"/>
              </w:rPr>
            </w:pPr>
            <w:r>
              <w:rPr>
                <w:rFonts w:ascii="Calibri" w:hAnsi="Calibri"/>
                <w:sz w:val="21"/>
                <w:szCs w:val="21"/>
              </w:rPr>
              <w:t xml:space="preserve"> Up to 500mg of THC</w:t>
            </w:r>
          </w:p>
        </w:tc>
      </w:tr>
      <w:tr w:rsidR="007A3EC4" w14:paraId="3E9E191F" w14:textId="77777777" w:rsidTr="007A3EC4">
        <w:trPr>
          <w:trHeight w:val="271"/>
        </w:trPr>
        <w:tc>
          <w:tcPr>
            <w:tcW w:w="3191" w:type="dxa"/>
            <w:tcBorders>
              <w:top w:val="single" w:sz="4" w:space="0" w:color="auto"/>
              <w:left w:val="single" w:sz="4" w:space="0" w:color="auto"/>
              <w:bottom w:val="single" w:sz="4" w:space="0" w:color="auto"/>
              <w:right w:val="single" w:sz="4" w:space="0" w:color="auto"/>
            </w:tcBorders>
            <w:hideMark/>
          </w:tcPr>
          <w:p w14:paraId="10C857AC" w14:textId="77777777" w:rsidR="007A3EC4" w:rsidRDefault="007A3EC4">
            <w:pPr>
              <w:rPr>
                <w:rFonts w:ascii="Calibri" w:hAnsi="Calibri"/>
                <w:sz w:val="21"/>
                <w:szCs w:val="21"/>
              </w:rPr>
            </w:pPr>
            <w:r>
              <w:rPr>
                <w:rFonts w:ascii="Calibri" w:hAnsi="Calibri"/>
                <w:sz w:val="21"/>
                <w:szCs w:val="21"/>
              </w:rPr>
              <w:t>1.5 Ounces</w:t>
            </w:r>
          </w:p>
        </w:tc>
        <w:tc>
          <w:tcPr>
            <w:tcW w:w="3192" w:type="dxa"/>
            <w:tcBorders>
              <w:top w:val="single" w:sz="4" w:space="0" w:color="auto"/>
              <w:left w:val="single" w:sz="4" w:space="0" w:color="auto"/>
              <w:bottom w:val="single" w:sz="4" w:space="0" w:color="auto"/>
              <w:right w:val="single" w:sz="4" w:space="0" w:color="auto"/>
            </w:tcBorders>
            <w:hideMark/>
          </w:tcPr>
          <w:p w14:paraId="70D82A3D" w14:textId="77777777" w:rsidR="007A3EC4" w:rsidRDefault="007A3EC4">
            <w:pPr>
              <w:rPr>
                <w:rFonts w:ascii="Calibri" w:hAnsi="Calibri"/>
                <w:sz w:val="21"/>
                <w:szCs w:val="21"/>
              </w:rPr>
            </w:pPr>
            <w:r>
              <w:rPr>
                <w:rFonts w:ascii="Calibri" w:hAnsi="Calibri"/>
                <w:sz w:val="21"/>
                <w:szCs w:val="21"/>
              </w:rPr>
              <w:t>7.5 Grams</w:t>
            </w:r>
          </w:p>
        </w:tc>
        <w:tc>
          <w:tcPr>
            <w:tcW w:w="3192" w:type="dxa"/>
            <w:tcBorders>
              <w:top w:val="single" w:sz="4" w:space="0" w:color="auto"/>
              <w:left w:val="single" w:sz="4" w:space="0" w:color="auto"/>
              <w:bottom w:val="single" w:sz="4" w:space="0" w:color="auto"/>
              <w:right w:val="single" w:sz="4" w:space="0" w:color="auto"/>
            </w:tcBorders>
            <w:hideMark/>
          </w:tcPr>
          <w:p w14:paraId="2FD94E50" w14:textId="77777777" w:rsidR="007A3EC4" w:rsidRDefault="007A3EC4">
            <w:pPr>
              <w:rPr>
                <w:rFonts w:ascii="Calibri" w:hAnsi="Calibri"/>
                <w:sz w:val="21"/>
                <w:szCs w:val="21"/>
              </w:rPr>
            </w:pPr>
            <w:r>
              <w:rPr>
                <w:rFonts w:ascii="Calibri" w:hAnsi="Calibri"/>
                <w:sz w:val="21"/>
                <w:szCs w:val="21"/>
              </w:rPr>
              <w:t>Up to 750mg of THC</w:t>
            </w:r>
          </w:p>
        </w:tc>
      </w:tr>
      <w:tr w:rsidR="007A3EC4" w14:paraId="4609CEDF" w14:textId="77777777" w:rsidTr="007A3EC4">
        <w:trPr>
          <w:trHeight w:val="287"/>
        </w:trPr>
        <w:tc>
          <w:tcPr>
            <w:tcW w:w="3191" w:type="dxa"/>
            <w:tcBorders>
              <w:top w:val="single" w:sz="4" w:space="0" w:color="auto"/>
              <w:left w:val="single" w:sz="4" w:space="0" w:color="auto"/>
              <w:bottom w:val="single" w:sz="4" w:space="0" w:color="auto"/>
              <w:right w:val="single" w:sz="4" w:space="0" w:color="auto"/>
            </w:tcBorders>
            <w:hideMark/>
          </w:tcPr>
          <w:p w14:paraId="52368DBB" w14:textId="77777777" w:rsidR="007A3EC4" w:rsidRDefault="007A3EC4">
            <w:pPr>
              <w:rPr>
                <w:rFonts w:ascii="Calibri" w:hAnsi="Calibri"/>
                <w:sz w:val="21"/>
                <w:szCs w:val="21"/>
              </w:rPr>
            </w:pPr>
            <w:r>
              <w:rPr>
                <w:rFonts w:ascii="Calibri" w:hAnsi="Calibri"/>
                <w:sz w:val="21"/>
                <w:szCs w:val="21"/>
              </w:rPr>
              <w:t>5 Ounces</w:t>
            </w:r>
          </w:p>
        </w:tc>
        <w:tc>
          <w:tcPr>
            <w:tcW w:w="3192" w:type="dxa"/>
            <w:tcBorders>
              <w:top w:val="single" w:sz="4" w:space="0" w:color="auto"/>
              <w:left w:val="single" w:sz="4" w:space="0" w:color="auto"/>
              <w:bottom w:val="single" w:sz="4" w:space="0" w:color="auto"/>
              <w:right w:val="single" w:sz="4" w:space="0" w:color="auto"/>
            </w:tcBorders>
            <w:hideMark/>
          </w:tcPr>
          <w:p w14:paraId="11E8261D" w14:textId="77777777" w:rsidR="007A3EC4" w:rsidRDefault="007A3EC4">
            <w:pPr>
              <w:rPr>
                <w:rFonts w:ascii="Calibri" w:hAnsi="Calibri"/>
                <w:sz w:val="21"/>
                <w:szCs w:val="21"/>
              </w:rPr>
            </w:pPr>
            <w:r>
              <w:rPr>
                <w:rFonts w:ascii="Calibri" w:hAnsi="Calibri"/>
                <w:sz w:val="21"/>
                <w:szCs w:val="21"/>
              </w:rPr>
              <w:t>25 Grams</w:t>
            </w:r>
          </w:p>
        </w:tc>
        <w:tc>
          <w:tcPr>
            <w:tcW w:w="3192" w:type="dxa"/>
            <w:tcBorders>
              <w:top w:val="single" w:sz="4" w:space="0" w:color="auto"/>
              <w:left w:val="single" w:sz="4" w:space="0" w:color="auto"/>
              <w:bottom w:val="single" w:sz="4" w:space="0" w:color="auto"/>
              <w:right w:val="single" w:sz="4" w:space="0" w:color="auto"/>
            </w:tcBorders>
            <w:hideMark/>
          </w:tcPr>
          <w:p w14:paraId="120ADE96" w14:textId="77777777" w:rsidR="007A3EC4" w:rsidRDefault="007A3EC4">
            <w:pPr>
              <w:rPr>
                <w:rFonts w:ascii="Calibri" w:hAnsi="Calibri"/>
                <w:sz w:val="21"/>
                <w:szCs w:val="21"/>
              </w:rPr>
            </w:pPr>
            <w:r>
              <w:rPr>
                <w:rFonts w:ascii="Calibri" w:hAnsi="Calibri"/>
                <w:sz w:val="21"/>
                <w:szCs w:val="21"/>
              </w:rPr>
              <w:t>25000 mg of THC</w:t>
            </w:r>
          </w:p>
        </w:tc>
      </w:tr>
    </w:tbl>
    <w:p w14:paraId="01522B90" w14:textId="77777777" w:rsidR="007A3EC4" w:rsidRDefault="007A3EC4" w:rsidP="007A3EC4">
      <w:pPr>
        <w:jc w:val="center"/>
        <w:rPr>
          <w:rFonts w:asciiTheme="minorHAnsi" w:eastAsia="Times New Roman" w:hAnsiTheme="minorHAnsi" w:cstheme="minorBidi"/>
          <w:b/>
          <w:sz w:val="22"/>
          <w:szCs w:val="22"/>
        </w:rPr>
      </w:pPr>
    </w:p>
    <w:p w14:paraId="485DF207" w14:textId="77777777" w:rsidR="007A3EC4" w:rsidRDefault="007A3EC4" w:rsidP="007A3EC4">
      <w:pPr>
        <w:jc w:val="center"/>
        <w:rPr>
          <w:rFonts w:eastAsia="Times New Roman"/>
          <w:b/>
        </w:rPr>
      </w:pPr>
      <w:r>
        <w:rPr>
          <w:rFonts w:eastAsia="Times New Roman"/>
          <w:b/>
        </w:rPr>
        <w:t>Cannabis Paraphernalia (CGS Sec. 21a-267)</w:t>
      </w:r>
    </w:p>
    <w:p w14:paraId="571AD1A8" w14:textId="77777777" w:rsidR="007A3EC4" w:rsidRDefault="007A3EC4" w:rsidP="007A3EC4">
      <w:pPr>
        <w:jc w:val="center"/>
        <w:rPr>
          <w:rFonts w:eastAsia="Times New Roman"/>
        </w:rPr>
      </w:pPr>
      <w:bookmarkStart w:id="0" w:name="_Hlk75439114"/>
      <w:r>
        <w:rPr>
          <w:rFonts w:eastAsia="Times New Roman"/>
        </w:rPr>
        <w:t xml:space="preserve">Section 21a-267 </w:t>
      </w:r>
      <w:bookmarkEnd w:id="0"/>
      <w:r>
        <w:rPr>
          <w:rFonts w:eastAsia="Times New Roman"/>
        </w:rPr>
        <w:t xml:space="preserve">of the Connecticut General Statutes </w:t>
      </w:r>
      <w:r w:rsidRPr="00A5265C">
        <w:rPr>
          <w:rFonts w:eastAsia="Times New Roman"/>
          <w:bCs/>
          <w:u w:val="single"/>
        </w:rPr>
        <w:t>exclude cannabis</w:t>
      </w:r>
      <w:r w:rsidRPr="00A5265C">
        <w:rPr>
          <w:rFonts w:eastAsia="Times New Roman"/>
        </w:rPr>
        <w:t xml:space="preserve"> paraphernalia</w:t>
      </w:r>
      <w:r>
        <w:rPr>
          <w:rFonts w:eastAsia="Times New Roman"/>
        </w:rPr>
        <w:t xml:space="preserve"> as an offense</w:t>
      </w:r>
    </w:p>
    <w:p w14:paraId="3AE9FA8A" w14:textId="77777777" w:rsidR="007A3EC4" w:rsidRDefault="007A3EC4" w:rsidP="007A3EC4">
      <w:pPr>
        <w:jc w:val="center"/>
        <w:rPr>
          <w:rFonts w:eastAsia="Times New Roman"/>
          <w:b/>
        </w:rPr>
      </w:pPr>
      <w:r>
        <w:rPr>
          <w:rFonts w:eastAsia="Times New Roman"/>
          <w:b/>
        </w:rPr>
        <w:t>Manufacturing and Sale of Cannabis and Cannabis Products</w:t>
      </w:r>
    </w:p>
    <w:tbl>
      <w:tblPr>
        <w:tblW w:w="0" w:type="auto"/>
        <w:tblInd w:w="725" w:type="dxa"/>
        <w:shd w:val="clear" w:color="auto" w:fill="FFFFFF"/>
        <w:tblCellMar>
          <w:left w:w="0" w:type="dxa"/>
          <w:right w:w="0" w:type="dxa"/>
        </w:tblCellMar>
        <w:tblLook w:val="04A0" w:firstRow="1" w:lastRow="0" w:firstColumn="1" w:lastColumn="0" w:noHBand="0" w:noVBand="1"/>
      </w:tblPr>
      <w:tblGrid>
        <w:gridCol w:w="1515"/>
        <w:gridCol w:w="3421"/>
        <w:gridCol w:w="3679"/>
      </w:tblGrid>
      <w:tr w:rsidR="007A3EC4" w14:paraId="7BBE00AB" w14:textId="77777777" w:rsidTr="007A3EC4">
        <w:tc>
          <w:tcPr>
            <w:tcW w:w="1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3D582D" w14:textId="77777777" w:rsidR="007A3EC4" w:rsidRDefault="007A3EC4">
            <w:pPr>
              <w:rPr>
                <w:rFonts w:eastAsia="Times New Roman"/>
                <w:color w:val="323130"/>
              </w:rPr>
            </w:pPr>
            <w:r>
              <w:rPr>
                <w:rFonts w:eastAsia="Times New Roman"/>
                <w:bCs/>
                <w:color w:val="323130"/>
              </w:rPr>
              <w:t>Age/Amount</w:t>
            </w:r>
          </w:p>
        </w:tc>
        <w:tc>
          <w:tcPr>
            <w:tcW w:w="37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56C7A3B" w14:textId="77777777" w:rsidR="007A3EC4" w:rsidRDefault="007A3EC4">
            <w:pPr>
              <w:rPr>
                <w:rFonts w:eastAsia="Times New Roman"/>
                <w:color w:val="323130"/>
              </w:rPr>
            </w:pPr>
            <w:r>
              <w:rPr>
                <w:rFonts w:eastAsia="Times New Roman"/>
                <w:bCs/>
                <w:color w:val="323130"/>
              </w:rPr>
              <w:t>0-17</w:t>
            </w:r>
          </w:p>
        </w:tc>
        <w:tc>
          <w:tcPr>
            <w:tcW w:w="40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D9A1900" w14:textId="77777777" w:rsidR="007A3EC4" w:rsidRDefault="007A3EC4">
            <w:pPr>
              <w:rPr>
                <w:rFonts w:eastAsia="Times New Roman"/>
                <w:color w:val="323130"/>
              </w:rPr>
            </w:pPr>
            <w:r>
              <w:rPr>
                <w:rFonts w:eastAsia="Times New Roman"/>
                <w:bCs/>
                <w:color w:val="323130"/>
              </w:rPr>
              <w:t>18+</w:t>
            </w:r>
          </w:p>
        </w:tc>
      </w:tr>
      <w:tr w:rsidR="007A3EC4" w14:paraId="23CC29C8" w14:textId="77777777" w:rsidTr="007A3EC4">
        <w:tc>
          <w:tcPr>
            <w:tcW w:w="152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2CA0FF" w14:textId="77777777" w:rsidR="007A3EC4" w:rsidRDefault="007A3EC4">
            <w:pPr>
              <w:rPr>
                <w:rFonts w:eastAsia="Times New Roman"/>
                <w:color w:val="323130"/>
              </w:rPr>
            </w:pPr>
            <w:r>
              <w:rPr>
                <w:rFonts w:eastAsia="Times New Roman"/>
                <w:bCs/>
                <w:color w:val="323130"/>
              </w:rPr>
              <w:t>0-8 oz.</w:t>
            </w:r>
          </w:p>
        </w:tc>
        <w:tc>
          <w:tcPr>
            <w:tcW w:w="37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2940AA" w14:textId="77777777" w:rsidR="007A3EC4" w:rsidRDefault="007A3EC4">
            <w:pPr>
              <w:rPr>
                <w:rFonts w:eastAsia="Times New Roman"/>
                <w:color w:val="323130"/>
              </w:rPr>
            </w:pPr>
            <w:r>
              <w:rPr>
                <w:rFonts w:eastAsia="Times New Roman"/>
                <w:color w:val="323130"/>
              </w:rPr>
              <w:t>Delinquent act</w:t>
            </w:r>
          </w:p>
        </w:tc>
        <w:tc>
          <w:tcPr>
            <w:tcW w:w="40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A26E0F" w14:textId="77777777" w:rsidR="007A3EC4" w:rsidRDefault="007A3EC4">
            <w:pPr>
              <w:rPr>
                <w:rFonts w:eastAsia="Times New Roman"/>
                <w:color w:val="323130"/>
              </w:rPr>
            </w:pPr>
            <w:r>
              <w:rPr>
                <w:rFonts w:eastAsia="Times New Roman"/>
                <w:color w:val="323130"/>
              </w:rPr>
              <w:t>1</w:t>
            </w:r>
            <w:r>
              <w:rPr>
                <w:rFonts w:eastAsia="Times New Roman"/>
                <w:color w:val="323130"/>
                <w:vertAlign w:val="superscript"/>
              </w:rPr>
              <w:t>st</w:t>
            </w:r>
            <w:r>
              <w:rPr>
                <w:rFonts w:eastAsia="Times New Roman"/>
                <w:color w:val="323130"/>
              </w:rPr>
              <w:t xml:space="preserve"> offense: $500</w:t>
            </w:r>
          </w:p>
          <w:p w14:paraId="2965070C" w14:textId="77777777" w:rsidR="007A3EC4" w:rsidRDefault="007A3EC4">
            <w:pPr>
              <w:rPr>
                <w:rFonts w:eastAsia="Times New Roman"/>
                <w:color w:val="323130"/>
              </w:rPr>
            </w:pPr>
            <w:r>
              <w:rPr>
                <w:rFonts w:eastAsia="Times New Roman"/>
                <w:color w:val="323130"/>
              </w:rPr>
              <w:t>2</w:t>
            </w:r>
            <w:r>
              <w:rPr>
                <w:rFonts w:eastAsia="Times New Roman"/>
                <w:color w:val="323130"/>
                <w:vertAlign w:val="superscript"/>
              </w:rPr>
              <w:t>nd</w:t>
            </w:r>
            <w:r>
              <w:rPr>
                <w:rFonts w:eastAsia="Times New Roman"/>
                <w:color w:val="323130"/>
              </w:rPr>
              <w:t xml:space="preserve"> offense: Class C misdemeanor</w:t>
            </w:r>
          </w:p>
        </w:tc>
      </w:tr>
      <w:tr w:rsidR="007A3EC4" w14:paraId="59A5157B" w14:textId="77777777" w:rsidTr="007A3EC4">
        <w:tc>
          <w:tcPr>
            <w:tcW w:w="152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6BB000" w14:textId="77777777" w:rsidR="007A3EC4" w:rsidRDefault="007A3EC4">
            <w:pPr>
              <w:rPr>
                <w:rFonts w:eastAsia="Times New Roman"/>
                <w:color w:val="323130"/>
              </w:rPr>
            </w:pPr>
            <w:r>
              <w:rPr>
                <w:rFonts w:eastAsia="Times New Roman"/>
                <w:bCs/>
                <w:color w:val="323130"/>
              </w:rPr>
              <w:t>8 oz.+</w:t>
            </w:r>
          </w:p>
        </w:tc>
        <w:tc>
          <w:tcPr>
            <w:tcW w:w="37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4BE1BE" w14:textId="77777777" w:rsidR="007A3EC4" w:rsidRDefault="007A3EC4">
            <w:pPr>
              <w:rPr>
                <w:rFonts w:eastAsia="Times New Roman"/>
                <w:color w:val="323130"/>
              </w:rPr>
            </w:pPr>
            <w:r>
              <w:rPr>
                <w:rFonts w:eastAsia="Times New Roman"/>
                <w:color w:val="323130"/>
              </w:rPr>
              <w:t>Delinquent act</w:t>
            </w:r>
          </w:p>
        </w:tc>
        <w:tc>
          <w:tcPr>
            <w:tcW w:w="40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200586" w14:textId="77777777" w:rsidR="007A3EC4" w:rsidRDefault="007A3EC4">
            <w:pPr>
              <w:rPr>
                <w:rFonts w:eastAsia="Times New Roman"/>
                <w:color w:val="323130"/>
              </w:rPr>
            </w:pPr>
            <w:r>
              <w:rPr>
                <w:rFonts w:eastAsia="Times New Roman"/>
                <w:color w:val="323130"/>
              </w:rPr>
              <w:t>1</w:t>
            </w:r>
            <w:r>
              <w:rPr>
                <w:rFonts w:eastAsia="Times New Roman"/>
                <w:color w:val="323130"/>
                <w:vertAlign w:val="superscript"/>
              </w:rPr>
              <w:t>st</w:t>
            </w:r>
            <w:r>
              <w:rPr>
                <w:rFonts w:eastAsia="Times New Roman"/>
                <w:color w:val="323130"/>
              </w:rPr>
              <w:t xml:space="preserve"> offense Class B misdemeanor</w:t>
            </w:r>
          </w:p>
          <w:p w14:paraId="7980B4CD" w14:textId="77777777" w:rsidR="007A3EC4" w:rsidRDefault="007A3EC4">
            <w:pPr>
              <w:rPr>
                <w:rFonts w:eastAsia="Times New Roman"/>
                <w:color w:val="323130"/>
              </w:rPr>
            </w:pPr>
            <w:r>
              <w:rPr>
                <w:rFonts w:eastAsia="Times New Roman"/>
                <w:color w:val="323130"/>
              </w:rPr>
              <w:t>2</w:t>
            </w:r>
            <w:r>
              <w:rPr>
                <w:rFonts w:eastAsia="Times New Roman"/>
                <w:color w:val="323130"/>
                <w:vertAlign w:val="superscript"/>
              </w:rPr>
              <w:t>nd</w:t>
            </w:r>
            <w:r>
              <w:rPr>
                <w:rFonts w:eastAsia="Times New Roman"/>
                <w:color w:val="323130"/>
              </w:rPr>
              <w:t xml:space="preserve"> offense: Class A misdemeanor</w:t>
            </w:r>
          </w:p>
        </w:tc>
      </w:tr>
    </w:tbl>
    <w:p w14:paraId="27B12340" w14:textId="77777777" w:rsidR="007A3EC4" w:rsidRDefault="007A3EC4" w:rsidP="00C03C7F">
      <w:pPr>
        <w:rPr>
          <w:rFonts w:ascii="Arial" w:hAnsi="Arial" w:cs="Arial"/>
        </w:rPr>
      </w:pPr>
    </w:p>
    <w:p w14:paraId="6B18EE37" w14:textId="77777777" w:rsidR="00C03C7F" w:rsidRDefault="00C03C7F" w:rsidP="00C03C7F">
      <w:pPr>
        <w:rPr>
          <w:rFonts w:ascii="Arial" w:hAnsi="Arial" w:cs="Arial"/>
        </w:rPr>
      </w:pPr>
    </w:p>
    <w:p w14:paraId="3677AB31"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Penalties may be doubled, however, when a first-time offender at least 18 years old (1) distributes a controlled substance to a person under 21 years of age or (2) distributes, possesses with intent to distribute, or manufactures a controlled substance in or on, or within one thousand feet of, the real property comprising a public or private elementary or secondary school, or a public or private college, junior college, or university, a playground or housing facility owned by a public housing authority, or within 100 feet of a public or private youth center, public swimming pool, or video arcade facility. A term of imprisonment for this offense shall not be less than one year. </w:t>
      </w:r>
    </w:p>
    <w:p w14:paraId="3023C31D" w14:textId="77777777" w:rsidR="00082A14" w:rsidRDefault="00082A14" w:rsidP="00075296">
      <w:pPr>
        <w:spacing w:after="150" w:line="285" w:lineRule="atLeast"/>
        <w:rPr>
          <w:rFonts w:ascii="Arial" w:hAnsi="Arial" w:cs="Arial"/>
        </w:rPr>
      </w:pPr>
    </w:p>
    <w:p w14:paraId="67010134" w14:textId="77777777" w:rsidR="00075296" w:rsidRPr="00075296" w:rsidRDefault="00075296" w:rsidP="00075296">
      <w:pPr>
        <w:spacing w:after="150" w:line="285" w:lineRule="atLeast"/>
        <w:rPr>
          <w:rFonts w:ascii="Arial" w:hAnsi="Arial" w:cs="Arial"/>
          <w:b/>
          <w:bCs/>
        </w:rPr>
      </w:pPr>
      <w:r w:rsidRPr="00075296">
        <w:rPr>
          <w:rFonts w:ascii="Arial" w:hAnsi="Arial" w:cs="Arial"/>
          <w:b/>
          <w:bCs/>
        </w:rPr>
        <w:lastRenderedPageBreak/>
        <w:t>Federal Trafficking Penalties</w:t>
      </w:r>
    </w:p>
    <w:tbl>
      <w:tblPr>
        <w:tblW w:w="0" w:type="auto"/>
        <w:jc w:val="center"/>
        <w:tblCellMar>
          <w:left w:w="0" w:type="dxa"/>
          <w:right w:w="0" w:type="dxa"/>
        </w:tblCellMar>
        <w:tblLook w:val="04A0" w:firstRow="1" w:lastRow="0" w:firstColumn="1" w:lastColumn="0" w:noHBand="0" w:noVBand="1"/>
      </w:tblPr>
      <w:tblGrid>
        <w:gridCol w:w="2358"/>
        <w:gridCol w:w="1400"/>
        <w:gridCol w:w="1768"/>
        <w:gridCol w:w="1406"/>
        <w:gridCol w:w="1768"/>
      </w:tblGrid>
      <w:tr w:rsidR="00075296" w:rsidRPr="00075296" w14:paraId="099AE188" w14:textId="77777777" w:rsidTr="00A5265C">
        <w:trPr>
          <w:jc w:val="center"/>
        </w:trPr>
        <w:tc>
          <w:tcPr>
            <w:tcW w:w="2358" w:type="dxa"/>
            <w:tcBorders>
              <w:top w:val="single" w:sz="12" w:space="0" w:color="0000FF"/>
              <w:left w:val="single" w:sz="12" w:space="0" w:color="0000FF"/>
              <w:bottom w:val="single" w:sz="12" w:space="0" w:color="0000FF"/>
              <w:right w:val="single" w:sz="12" w:space="0" w:color="0000FF"/>
            </w:tcBorders>
            <w:shd w:val="clear" w:color="auto" w:fill="auto"/>
            <w:tcMar>
              <w:top w:w="0" w:type="dxa"/>
              <w:left w:w="30" w:type="dxa"/>
              <w:bottom w:w="0" w:type="dxa"/>
              <w:right w:w="30" w:type="dxa"/>
            </w:tcMar>
            <w:hideMark/>
          </w:tcPr>
          <w:p w14:paraId="2C9827A5" w14:textId="77777777" w:rsidR="00075296" w:rsidRPr="00A5265C" w:rsidRDefault="00075296">
            <w:pPr>
              <w:spacing w:after="150" w:line="285" w:lineRule="atLeast"/>
              <w:rPr>
                <w:rFonts w:ascii="Arial" w:hAnsi="Arial" w:cs="Arial"/>
                <w:b/>
                <w:bCs/>
              </w:rPr>
            </w:pPr>
            <w:r w:rsidRPr="00A5265C">
              <w:rPr>
                <w:rFonts w:ascii="Arial" w:hAnsi="Arial" w:cs="Arial"/>
                <w:b/>
                <w:bCs/>
              </w:rPr>
              <w:t xml:space="preserve">DRUG/SCHEDULE </w:t>
            </w:r>
          </w:p>
        </w:tc>
        <w:tc>
          <w:tcPr>
            <w:tcW w:w="1400" w:type="dxa"/>
            <w:tcBorders>
              <w:top w:val="single" w:sz="12" w:space="0" w:color="0000FF"/>
              <w:left w:val="nil"/>
              <w:bottom w:val="single" w:sz="12" w:space="0" w:color="0000FF"/>
              <w:right w:val="single" w:sz="12" w:space="0" w:color="0000FF"/>
            </w:tcBorders>
            <w:shd w:val="clear" w:color="auto" w:fill="auto"/>
            <w:tcMar>
              <w:top w:w="0" w:type="dxa"/>
              <w:left w:w="30" w:type="dxa"/>
              <w:bottom w:w="0" w:type="dxa"/>
              <w:right w:w="30" w:type="dxa"/>
            </w:tcMar>
            <w:hideMark/>
          </w:tcPr>
          <w:p w14:paraId="6435B32A" w14:textId="77777777" w:rsidR="00075296" w:rsidRPr="00A5265C" w:rsidRDefault="00075296">
            <w:pPr>
              <w:spacing w:after="150" w:line="285" w:lineRule="atLeast"/>
              <w:rPr>
                <w:rFonts w:ascii="Arial" w:hAnsi="Arial" w:cs="Arial"/>
                <w:b/>
                <w:bCs/>
              </w:rPr>
            </w:pPr>
            <w:r w:rsidRPr="00A5265C">
              <w:rPr>
                <w:rFonts w:ascii="Arial" w:hAnsi="Arial" w:cs="Arial"/>
                <w:b/>
                <w:bCs/>
              </w:rPr>
              <w:t xml:space="preserve">QUANTITY </w:t>
            </w:r>
          </w:p>
        </w:tc>
        <w:tc>
          <w:tcPr>
            <w:tcW w:w="1768" w:type="dxa"/>
            <w:tcBorders>
              <w:top w:val="single" w:sz="12" w:space="0" w:color="0000FF"/>
              <w:left w:val="nil"/>
              <w:bottom w:val="single" w:sz="12" w:space="0" w:color="0000FF"/>
              <w:right w:val="single" w:sz="12" w:space="0" w:color="0000FF"/>
            </w:tcBorders>
            <w:shd w:val="clear" w:color="auto" w:fill="auto"/>
            <w:tcMar>
              <w:top w:w="0" w:type="dxa"/>
              <w:left w:w="30" w:type="dxa"/>
              <w:bottom w:w="0" w:type="dxa"/>
              <w:right w:w="30" w:type="dxa"/>
            </w:tcMar>
            <w:hideMark/>
          </w:tcPr>
          <w:p w14:paraId="7B27445F" w14:textId="77777777" w:rsidR="00075296" w:rsidRPr="00A5265C" w:rsidRDefault="00075296">
            <w:pPr>
              <w:spacing w:after="150" w:line="285" w:lineRule="atLeast"/>
              <w:rPr>
                <w:rFonts w:ascii="Arial" w:hAnsi="Arial" w:cs="Arial"/>
                <w:b/>
                <w:bCs/>
              </w:rPr>
            </w:pPr>
            <w:r w:rsidRPr="00A5265C">
              <w:rPr>
                <w:rFonts w:ascii="Arial" w:hAnsi="Arial" w:cs="Arial"/>
                <w:b/>
                <w:bCs/>
              </w:rPr>
              <w:t xml:space="preserve">PENALTIES </w:t>
            </w:r>
          </w:p>
        </w:tc>
        <w:tc>
          <w:tcPr>
            <w:tcW w:w="1406" w:type="dxa"/>
            <w:tcBorders>
              <w:top w:val="single" w:sz="12" w:space="0" w:color="0000FF"/>
              <w:left w:val="nil"/>
              <w:bottom w:val="single" w:sz="12" w:space="0" w:color="0000FF"/>
              <w:right w:val="single" w:sz="12" w:space="0" w:color="0000FF"/>
            </w:tcBorders>
            <w:shd w:val="clear" w:color="auto" w:fill="auto"/>
            <w:tcMar>
              <w:top w:w="0" w:type="dxa"/>
              <w:left w:w="30" w:type="dxa"/>
              <w:bottom w:w="0" w:type="dxa"/>
              <w:right w:w="30" w:type="dxa"/>
            </w:tcMar>
            <w:hideMark/>
          </w:tcPr>
          <w:p w14:paraId="2C76E2DB" w14:textId="77777777" w:rsidR="00075296" w:rsidRPr="00A5265C" w:rsidRDefault="00075296">
            <w:pPr>
              <w:spacing w:after="150" w:line="285" w:lineRule="atLeast"/>
              <w:rPr>
                <w:rFonts w:ascii="Arial" w:hAnsi="Arial" w:cs="Arial"/>
                <w:b/>
                <w:bCs/>
              </w:rPr>
            </w:pPr>
            <w:r w:rsidRPr="00A5265C">
              <w:rPr>
                <w:rFonts w:ascii="Arial" w:hAnsi="Arial" w:cs="Arial"/>
                <w:b/>
                <w:bCs/>
              </w:rPr>
              <w:t xml:space="preserve">QUANTITY </w:t>
            </w:r>
          </w:p>
        </w:tc>
        <w:tc>
          <w:tcPr>
            <w:tcW w:w="1768" w:type="dxa"/>
            <w:tcBorders>
              <w:top w:val="single" w:sz="12" w:space="0" w:color="0000FF"/>
              <w:left w:val="nil"/>
              <w:bottom w:val="single" w:sz="12" w:space="0" w:color="0000FF"/>
              <w:right w:val="single" w:sz="12" w:space="0" w:color="0000FF"/>
            </w:tcBorders>
            <w:shd w:val="clear" w:color="auto" w:fill="auto"/>
            <w:tcMar>
              <w:top w:w="0" w:type="dxa"/>
              <w:left w:w="30" w:type="dxa"/>
              <w:bottom w:w="0" w:type="dxa"/>
              <w:right w:w="30" w:type="dxa"/>
            </w:tcMar>
            <w:hideMark/>
          </w:tcPr>
          <w:p w14:paraId="67E9A63A" w14:textId="77777777" w:rsidR="00075296" w:rsidRPr="00A5265C" w:rsidRDefault="00075296">
            <w:pPr>
              <w:spacing w:after="150" w:line="285" w:lineRule="atLeast"/>
              <w:rPr>
                <w:rFonts w:ascii="Arial" w:hAnsi="Arial" w:cs="Arial"/>
                <w:b/>
                <w:bCs/>
              </w:rPr>
            </w:pPr>
            <w:r w:rsidRPr="00A5265C">
              <w:rPr>
                <w:rFonts w:ascii="Arial" w:hAnsi="Arial" w:cs="Arial"/>
                <w:b/>
                <w:bCs/>
              </w:rPr>
              <w:t xml:space="preserve">PENALTIES </w:t>
            </w:r>
          </w:p>
        </w:tc>
      </w:tr>
      <w:tr w:rsidR="00075296" w:rsidRPr="00075296" w14:paraId="491FF96A" w14:textId="77777777" w:rsidTr="00075296">
        <w:trPr>
          <w:jc w:val="center"/>
        </w:trPr>
        <w:tc>
          <w:tcPr>
            <w:tcW w:w="2358" w:type="dxa"/>
            <w:tcBorders>
              <w:top w:val="nil"/>
              <w:left w:val="single" w:sz="12" w:space="0" w:color="0000FF"/>
              <w:bottom w:val="single" w:sz="12" w:space="0" w:color="0000FF"/>
              <w:right w:val="single" w:sz="12" w:space="0" w:color="0000FF"/>
            </w:tcBorders>
            <w:tcMar>
              <w:top w:w="0" w:type="dxa"/>
              <w:left w:w="30" w:type="dxa"/>
              <w:bottom w:w="0" w:type="dxa"/>
              <w:right w:w="30" w:type="dxa"/>
            </w:tcMar>
            <w:hideMark/>
          </w:tcPr>
          <w:p w14:paraId="15CAC572" w14:textId="77777777" w:rsidR="00075296" w:rsidRPr="00075296" w:rsidRDefault="00075296">
            <w:pPr>
              <w:spacing w:after="150" w:line="285" w:lineRule="atLeast"/>
              <w:rPr>
                <w:rFonts w:ascii="Arial" w:hAnsi="Arial" w:cs="Arial"/>
              </w:rPr>
            </w:pPr>
            <w:r w:rsidRPr="00075296">
              <w:rPr>
                <w:rFonts w:ascii="Arial" w:hAnsi="Arial" w:cs="Arial"/>
              </w:rPr>
              <w:t xml:space="preserve">Cocaine (Schedule II) </w:t>
            </w:r>
          </w:p>
        </w:tc>
        <w:tc>
          <w:tcPr>
            <w:tcW w:w="1400" w:type="dxa"/>
            <w:tcBorders>
              <w:top w:val="nil"/>
              <w:left w:val="nil"/>
              <w:bottom w:val="single" w:sz="12" w:space="0" w:color="0000FF"/>
              <w:right w:val="single" w:sz="12" w:space="0" w:color="0000FF"/>
            </w:tcBorders>
            <w:tcMar>
              <w:top w:w="0" w:type="dxa"/>
              <w:left w:w="30" w:type="dxa"/>
              <w:bottom w:w="0" w:type="dxa"/>
              <w:right w:w="30" w:type="dxa"/>
            </w:tcMar>
            <w:hideMark/>
          </w:tcPr>
          <w:p w14:paraId="1F05723E" w14:textId="77777777" w:rsidR="00075296" w:rsidRPr="00075296" w:rsidRDefault="00075296">
            <w:pPr>
              <w:spacing w:after="150" w:line="285" w:lineRule="atLeast"/>
              <w:rPr>
                <w:rFonts w:ascii="Arial" w:hAnsi="Arial" w:cs="Arial"/>
              </w:rPr>
            </w:pPr>
            <w:r w:rsidRPr="00075296">
              <w:rPr>
                <w:rFonts w:ascii="Arial" w:hAnsi="Arial" w:cs="Arial"/>
              </w:rPr>
              <w:t xml:space="preserve">500 - 4999 </w:t>
            </w:r>
            <w:proofErr w:type="spellStart"/>
            <w:r w:rsidRPr="00075296">
              <w:rPr>
                <w:rFonts w:ascii="Arial" w:hAnsi="Arial" w:cs="Arial"/>
              </w:rPr>
              <w:t>gms</w:t>
            </w:r>
            <w:proofErr w:type="spellEnd"/>
            <w:r w:rsidRPr="00075296">
              <w:rPr>
                <w:rFonts w:ascii="Arial" w:hAnsi="Arial" w:cs="Arial"/>
              </w:rPr>
              <w:t xml:space="preserve"> mixture</w:t>
            </w:r>
          </w:p>
        </w:tc>
        <w:tc>
          <w:tcPr>
            <w:tcW w:w="1768" w:type="dxa"/>
            <w:vMerge w:val="restart"/>
            <w:tcBorders>
              <w:top w:val="nil"/>
              <w:left w:val="nil"/>
              <w:bottom w:val="single" w:sz="12" w:space="0" w:color="0000FF"/>
              <w:right w:val="single" w:sz="12" w:space="0" w:color="0000FF"/>
            </w:tcBorders>
            <w:shd w:val="clear" w:color="auto" w:fill="FFFFFF"/>
            <w:tcMar>
              <w:top w:w="0" w:type="dxa"/>
              <w:left w:w="30" w:type="dxa"/>
              <w:bottom w:w="0" w:type="dxa"/>
              <w:right w:w="30" w:type="dxa"/>
            </w:tcMar>
            <w:hideMark/>
          </w:tcPr>
          <w:p w14:paraId="2EFC8778" w14:textId="77777777" w:rsidR="00075296" w:rsidRPr="00075296" w:rsidRDefault="00075296">
            <w:pPr>
              <w:spacing w:after="150" w:line="285" w:lineRule="atLeast"/>
              <w:rPr>
                <w:rFonts w:ascii="Arial" w:hAnsi="Arial" w:cs="Arial"/>
              </w:rPr>
            </w:pPr>
            <w:r w:rsidRPr="00075296">
              <w:rPr>
                <w:rFonts w:ascii="Arial" w:hAnsi="Arial" w:cs="Arial"/>
              </w:rPr>
              <w:t>First Offense:</w:t>
            </w:r>
          </w:p>
          <w:p w14:paraId="28E5E35B" w14:textId="77777777" w:rsidR="00075296" w:rsidRPr="00075296" w:rsidRDefault="00075296">
            <w:pPr>
              <w:spacing w:after="150" w:line="285" w:lineRule="atLeast"/>
              <w:rPr>
                <w:rFonts w:ascii="Arial" w:hAnsi="Arial" w:cs="Arial"/>
              </w:rPr>
            </w:pPr>
            <w:r w:rsidRPr="00075296">
              <w:rPr>
                <w:rFonts w:ascii="Arial" w:hAnsi="Arial" w:cs="Arial"/>
              </w:rPr>
              <w:t xml:space="preserve">Not less than 5 </w:t>
            </w:r>
            <w:proofErr w:type="spellStart"/>
            <w:r w:rsidRPr="00075296">
              <w:rPr>
                <w:rFonts w:ascii="Arial" w:hAnsi="Arial" w:cs="Arial"/>
              </w:rPr>
              <w:t>yrs</w:t>
            </w:r>
            <w:proofErr w:type="spellEnd"/>
            <w:r w:rsidRPr="00075296">
              <w:rPr>
                <w:rFonts w:ascii="Arial" w:hAnsi="Arial" w:cs="Arial"/>
              </w:rPr>
              <w:t xml:space="preserve">, and not more than 40 yrs. If death or serious injury, not less than 20 or more than life. Fine of not more than $2 million if an individual, $5 million if not an individual </w:t>
            </w:r>
          </w:p>
          <w:p w14:paraId="164FEEF5" w14:textId="77777777" w:rsidR="00075296" w:rsidRPr="00075296" w:rsidRDefault="00075296">
            <w:pPr>
              <w:spacing w:after="150" w:line="285" w:lineRule="atLeast"/>
              <w:rPr>
                <w:rFonts w:ascii="Arial" w:hAnsi="Arial" w:cs="Arial"/>
              </w:rPr>
            </w:pPr>
            <w:r w:rsidRPr="00075296">
              <w:rPr>
                <w:rFonts w:ascii="Arial" w:hAnsi="Arial" w:cs="Arial"/>
              </w:rPr>
              <w:t xml:space="preserve">Second Offense: Not less than 10 </w:t>
            </w:r>
            <w:proofErr w:type="spellStart"/>
            <w:r w:rsidRPr="00075296">
              <w:rPr>
                <w:rFonts w:ascii="Arial" w:hAnsi="Arial" w:cs="Arial"/>
              </w:rPr>
              <w:t>yrs</w:t>
            </w:r>
            <w:proofErr w:type="spellEnd"/>
            <w:r w:rsidRPr="00075296">
              <w:rPr>
                <w:rFonts w:ascii="Arial" w:hAnsi="Arial" w:cs="Arial"/>
              </w:rPr>
              <w:t xml:space="preserve">, and not more than life. If death or serious injury, life imprisonment. Fine of not more than $4 million if an individual, $10 million if not an individual </w:t>
            </w:r>
          </w:p>
        </w:tc>
        <w:tc>
          <w:tcPr>
            <w:tcW w:w="1406" w:type="dxa"/>
            <w:tcBorders>
              <w:top w:val="nil"/>
              <w:left w:val="nil"/>
              <w:bottom w:val="single" w:sz="12" w:space="0" w:color="0000FF"/>
              <w:right w:val="single" w:sz="12" w:space="0" w:color="0000FF"/>
            </w:tcBorders>
            <w:tcMar>
              <w:top w:w="0" w:type="dxa"/>
              <w:left w:w="30" w:type="dxa"/>
              <w:bottom w:w="0" w:type="dxa"/>
              <w:right w:w="30" w:type="dxa"/>
            </w:tcMar>
            <w:hideMark/>
          </w:tcPr>
          <w:p w14:paraId="138ED8C4" w14:textId="77777777" w:rsidR="00075296" w:rsidRPr="00075296" w:rsidRDefault="00075296">
            <w:pPr>
              <w:spacing w:after="150" w:line="285" w:lineRule="atLeast"/>
              <w:rPr>
                <w:rFonts w:ascii="Arial" w:hAnsi="Arial" w:cs="Arial"/>
              </w:rPr>
            </w:pPr>
            <w:r w:rsidRPr="00075296">
              <w:rPr>
                <w:rFonts w:ascii="Arial" w:hAnsi="Arial" w:cs="Arial"/>
              </w:rPr>
              <w:t xml:space="preserve">5 kgs or more mixture </w:t>
            </w:r>
          </w:p>
        </w:tc>
        <w:tc>
          <w:tcPr>
            <w:tcW w:w="1768" w:type="dxa"/>
            <w:vMerge w:val="restart"/>
            <w:tcBorders>
              <w:top w:val="nil"/>
              <w:left w:val="nil"/>
              <w:bottom w:val="single" w:sz="12" w:space="0" w:color="0000FF"/>
              <w:right w:val="single" w:sz="12" w:space="0" w:color="0000FF"/>
            </w:tcBorders>
            <w:shd w:val="clear" w:color="auto" w:fill="FFFFFF"/>
            <w:tcMar>
              <w:top w:w="0" w:type="dxa"/>
              <w:left w:w="30" w:type="dxa"/>
              <w:bottom w:w="0" w:type="dxa"/>
              <w:right w:w="30" w:type="dxa"/>
            </w:tcMar>
          </w:tcPr>
          <w:p w14:paraId="6A1E8DAC" w14:textId="77777777" w:rsidR="00075296" w:rsidRPr="00075296" w:rsidRDefault="00075296">
            <w:pPr>
              <w:spacing w:after="150" w:line="285" w:lineRule="atLeast"/>
              <w:rPr>
                <w:rFonts w:ascii="Arial" w:hAnsi="Arial" w:cs="Arial"/>
              </w:rPr>
            </w:pPr>
            <w:r w:rsidRPr="00075296">
              <w:rPr>
                <w:rFonts w:ascii="Arial" w:hAnsi="Arial" w:cs="Arial"/>
              </w:rPr>
              <w:t>First Offense:</w:t>
            </w:r>
          </w:p>
          <w:p w14:paraId="312E01B6" w14:textId="77777777" w:rsidR="00075296" w:rsidRPr="00075296" w:rsidRDefault="00075296">
            <w:pPr>
              <w:spacing w:after="150" w:line="285" w:lineRule="atLeast"/>
              <w:rPr>
                <w:rFonts w:ascii="Arial" w:hAnsi="Arial" w:cs="Arial"/>
              </w:rPr>
            </w:pPr>
            <w:r w:rsidRPr="00075296">
              <w:rPr>
                <w:rFonts w:ascii="Arial" w:hAnsi="Arial" w:cs="Arial"/>
              </w:rPr>
              <w:t xml:space="preserve">Not less than 10 </w:t>
            </w:r>
            <w:proofErr w:type="spellStart"/>
            <w:r w:rsidRPr="00075296">
              <w:rPr>
                <w:rFonts w:ascii="Arial" w:hAnsi="Arial" w:cs="Arial"/>
              </w:rPr>
              <w:t>yrs</w:t>
            </w:r>
            <w:proofErr w:type="spellEnd"/>
            <w:r w:rsidRPr="00075296">
              <w:rPr>
                <w:rFonts w:ascii="Arial" w:hAnsi="Arial" w:cs="Arial"/>
              </w:rPr>
              <w:t xml:space="preserve">, and not more than life. If death or serious injury, not less than 20 or more than life. Fine of not more than $4 million if an individual, $10 million if not an individual. </w:t>
            </w:r>
          </w:p>
          <w:p w14:paraId="4D04711E" w14:textId="77777777" w:rsidR="00075296" w:rsidRPr="00075296" w:rsidRDefault="00075296">
            <w:pPr>
              <w:spacing w:after="150" w:line="285" w:lineRule="atLeast"/>
              <w:rPr>
                <w:rFonts w:ascii="Arial" w:hAnsi="Arial" w:cs="Arial"/>
              </w:rPr>
            </w:pPr>
            <w:r w:rsidRPr="00075296">
              <w:rPr>
                <w:rFonts w:ascii="Arial" w:hAnsi="Arial" w:cs="Arial"/>
              </w:rPr>
              <w:t xml:space="preserve">Second Offense: Not less than 20 </w:t>
            </w:r>
            <w:proofErr w:type="spellStart"/>
            <w:r w:rsidRPr="00075296">
              <w:rPr>
                <w:rFonts w:ascii="Arial" w:hAnsi="Arial" w:cs="Arial"/>
              </w:rPr>
              <w:t>yrs</w:t>
            </w:r>
            <w:proofErr w:type="spellEnd"/>
            <w:r w:rsidRPr="00075296">
              <w:rPr>
                <w:rFonts w:ascii="Arial" w:hAnsi="Arial" w:cs="Arial"/>
              </w:rPr>
              <w:t>, and not more than life. If death or serious injury, life imprisonment. Fine of not more than $8 million if an individual, $20 million if not an individual.</w:t>
            </w:r>
          </w:p>
          <w:p w14:paraId="3E74691C" w14:textId="77777777" w:rsidR="00075296" w:rsidRPr="00075296" w:rsidRDefault="00075296">
            <w:pPr>
              <w:spacing w:after="150" w:line="285" w:lineRule="atLeast"/>
              <w:rPr>
                <w:rFonts w:ascii="Arial" w:hAnsi="Arial" w:cs="Arial"/>
              </w:rPr>
            </w:pPr>
            <w:r w:rsidRPr="00075296">
              <w:rPr>
                <w:rFonts w:ascii="Arial" w:hAnsi="Arial" w:cs="Arial"/>
              </w:rPr>
              <w:t xml:space="preserve">2 or More Prior Offenses: Life imprisonment </w:t>
            </w:r>
          </w:p>
          <w:p w14:paraId="12F12F84" w14:textId="77777777" w:rsidR="00075296" w:rsidRPr="00075296" w:rsidRDefault="00075296">
            <w:pPr>
              <w:spacing w:after="150" w:line="285" w:lineRule="atLeast"/>
              <w:rPr>
                <w:rFonts w:ascii="Arial" w:hAnsi="Arial" w:cs="Arial"/>
              </w:rPr>
            </w:pPr>
          </w:p>
          <w:p w14:paraId="49B89459" w14:textId="77777777" w:rsidR="00075296" w:rsidRPr="00075296" w:rsidRDefault="00075296">
            <w:pPr>
              <w:spacing w:after="150" w:line="285" w:lineRule="atLeast"/>
              <w:rPr>
                <w:rFonts w:ascii="Arial" w:hAnsi="Arial" w:cs="Arial"/>
              </w:rPr>
            </w:pPr>
          </w:p>
        </w:tc>
      </w:tr>
      <w:tr w:rsidR="00075296" w:rsidRPr="00075296" w14:paraId="58E10B39" w14:textId="77777777" w:rsidTr="00075296">
        <w:trPr>
          <w:jc w:val="center"/>
        </w:trPr>
        <w:tc>
          <w:tcPr>
            <w:tcW w:w="2358" w:type="dxa"/>
            <w:tcBorders>
              <w:top w:val="nil"/>
              <w:left w:val="single" w:sz="12" w:space="0" w:color="0000FF"/>
              <w:bottom w:val="single" w:sz="12" w:space="0" w:color="0000FF"/>
              <w:right w:val="single" w:sz="12" w:space="0" w:color="0000FF"/>
            </w:tcBorders>
            <w:tcMar>
              <w:top w:w="0" w:type="dxa"/>
              <w:left w:w="30" w:type="dxa"/>
              <w:bottom w:w="0" w:type="dxa"/>
              <w:right w:w="30" w:type="dxa"/>
            </w:tcMar>
            <w:hideMark/>
          </w:tcPr>
          <w:p w14:paraId="6AB0449A" w14:textId="77777777" w:rsidR="00075296" w:rsidRPr="00075296" w:rsidRDefault="00075296">
            <w:pPr>
              <w:spacing w:after="150" w:line="285" w:lineRule="atLeast"/>
              <w:rPr>
                <w:rFonts w:ascii="Arial" w:hAnsi="Arial" w:cs="Arial"/>
              </w:rPr>
            </w:pPr>
            <w:r w:rsidRPr="00075296">
              <w:rPr>
                <w:rFonts w:ascii="Arial" w:hAnsi="Arial" w:cs="Arial"/>
              </w:rPr>
              <w:t xml:space="preserve">Cocaine Base (Schedule II) </w:t>
            </w:r>
          </w:p>
        </w:tc>
        <w:tc>
          <w:tcPr>
            <w:tcW w:w="1400" w:type="dxa"/>
            <w:tcBorders>
              <w:top w:val="nil"/>
              <w:left w:val="nil"/>
              <w:bottom w:val="single" w:sz="12" w:space="0" w:color="0000FF"/>
              <w:right w:val="single" w:sz="12" w:space="0" w:color="0000FF"/>
            </w:tcBorders>
            <w:tcMar>
              <w:top w:w="0" w:type="dxa"/>
              <w:left w:w="30" w:type="dxa"/>
              <w:bottom w:w="0" w:type="dxa"/>
              <w:right w:w="30" w:type="dxa"/>
            </w:tcMar>
            <w:hideMark/>
          </w:tcPr>
          <w:p w14:paraId="0744B3C5" w14:textId="77777777" w:rsidR="00075296" w:rsidRPr="00075296" w:rsidRDefault="00075296">
            <w:pPr>
              <w:spacing w:after="150" w:line="285" w:lineRule="atLeast"/>
              <w:rPr>
                <w:rFonts w:ascii="Arial" w:hAnsi="Arial" w:cs="Arial"/>
              </w:rPr>
            </w:pPr>
            <w:r w:rsidRPr="00075296">
              <w:rPr>
                <w:rFonts w:ascii="Arial" w:hAnsi="Arial" w:cs="Arial"/>
              </w:rPr>
              <w:t xml:space="preserve">5-49 </w:t>
            </w:r>
            <w:proofErr w:type="spellStart"/>
            <w:r w:rsidRPr="00075296">
              <w:rPr>
                <w:rFonts w:ascii="Arial" w:hAnsi="Arial" w:cs="Arial"/>
              </w:rPr>
              <w:t>gms</w:t>
            </w:r>
            <w:proofErr w:type="spellEnd"/>
            <w:r w:rsidRPr="00075296">
              <w:rPr>
                <w:rFonts w:ascii="Arial" w:hAnsi="Arial" w:cs="Arial"/>
              </w:rPr>
              <w:t xml:space="preserve"> mixture </w:t>
            </w:r>
          </w:p>
        </w:tc>
        <w:tc>
          <w:tcPr>
            <w:tcW w:w="0" w:type="auto"/>
            <w:vMerge/>
            <w:tcBorders>
              <w:top w:val="nil"/>
              <w:left w:val="nil"/>
              <w:bottom w:val="single" w:sz="12" w:space="0" w:color="0000FF"/>
              <w:right w:val="single" w:sz="12" w:space="0" w:color="0000FF"/>
            </w:tcBorders>
            <w:vAlign w:val="center"/>
            <w:hideMark/>
          </w:tcPr>
          <w:p w14:paraId="71B14EA7" w14:textId="77777777" w:rsidR="00075296" w:rsidRPr="00075296" w:rsidRDefault="00075296">
            <w:pPr>
              <w:rPr>
                <w:rFonts w:ascii="Arial" w:hAnsi="Arial" w:cs="Arial"/>
              </w:rPr>
            </w:pPr>
          </w:p>
        </w:tc>
        <w:tc>
          <w:tcPr>
            <w:tcW w:w="1406" w:type="dxa"/>
            <w:tcBorders>
              <w:top w:val="nil"/>
              <w:left w:val="nil"/>
              <w:bottom w:val="single" w:sz="12" w:space="0" w:color="0000FF"/>
              <w:right w:val="single" w:sz="12" w:space="0" w:color="0000FF"/>
            </w:tcBorders>
            <w:tcMar>
              <w:top w:w="0" w:type="dxa"/>
              <w:left w:w="30" w:type="dxa"/>
              <w:bottom w:w="0" w:type="dxa"/>
              <w:right w:w="30" w:type="dxa"/>
            </w:tcMar>
            <w:hideMark/>
          </w:tcPr>
          <w:p w14:paraId="3A233E73" w14:textId="77777777" w:rsidR="00075296" w:rsidRPr="00075296" w:rsidRDefault="00075296">
            <w:pPr>
              <w:spacing w:after="150" w:line="285" w:lineRule="atLeast"/>
              <w:rPr>
                <w:rFonts w:ascii="Arial" w:hAnsi="Arial" w:cs="Arial"/>
              </w:rPr>
            </w:pPr>
            <w:r w:rsidRPr="00075296">
              <w:rPr>
                <w:rFonts w:ascii="Arial" w:hAnsi="Arial" w:cs="Arial"/>
              </w:rPr>
              <w:t xml:space="preserve">50 </w:t>
            </w:r>
            <w:proofErr w:type="spellStart"/>
            <w:r w:rsidRPr="00075296">
              <w:rPr>
                <w:rFonts w:ascii="Arial" w:hAnsi="Arial" w:cs="Arial"/>
              </w:rPr>
              <w:t>gms</w:t>
            </w:r>
            <w:proofErr w:type="spellEnd"/>
            <w:r w:rsidRPr="00075296">
              <w:rPr>
                <w:rFonts w:ascii="Arial" w:hAnsi="Arial" w:cs="Arial"/>
              </w:rPr>
              <w:t xml:space="preserve"> or more mixture </w:t>
            </w:r>
          </w:p>
        </w:tc>
        <w:tc>
          <w:tcPr>
            <w:tcW w:w="0" w:type="auto"/>
            <w:vMerge/>
            <w:tcBorders>
              <w:top w:val="nil"/>
              <w:left w:val="nil"/>
              <w:bottom w:val="single" w:sz="12" w:space="0" w:color="0000FF"/>
              <w:right w:val="single" w:sz="12" w:space="0" w:color="0000FF"/>
            </w:tcBorders>
            <w:vAlign w:val="center"/>
            <w:hideMark/>
          </w:tcPr>
          <w:p w14:paraId="751F9D43" w14:textId="77777777" w:rsidR="00075296" w:rsidRPr="00075296" w:rsidRDefault="00075296">
            <w:pPr>
              <w:rPr>
                <w:rFonts w:ascii="Arial" w:hAnsi="Arial" w:cs="Arial"/>
              </w:rPr>
            </w:pPr>
          </w:p>
        </w:tc>
      </w:tr>
      <w:tr w:rsidR="00075296" w:rsidRPr="00075296" w14:paraId="46E68FAD" w14:textId="77777777" w:rsidTr="00075296">
        <w:trPr>
          <w:jc w:val="center"/>
        </w:trPr>
        <w:tc>
          <w:tcPr>
            <w:tcW w:w="2358" w:type="dxa"/>
            <w:tcBorders>
              <w:top w:val="nil"/>
              <w:left w:val="single" w:sz="12" w:space="0" w:color="0000FF"/>
              <w:bottom w:val="single" w:sz="12" w:space="0" w:color="0000FF"/>
              <w:right w:val="single" w:sz="12" w:space="0" w:color="0000FF"/>
            </w:tcBorders>
            <w:tcMar>
              <w:top w:w="0" w:type="dxa"/>
              <w:left w:w="30" w:type="dxa"/>
              <w:bottom w:w="0" w:type="dxa"/>
              <w:right w:w="30" w:type="dxa"/>
            </w:tcMar>
            <w:hideMark/>
          </w:tcPr>
          <w:p w14:paraId="4C787B86" w14:textId="77777777" w:rsidR="00075296" w:rsidRPr="00075296" w:rsidRDefault="00075296">
            <w:pPr>
              <w:spacing w:after="150" w:line="285" w:lineRule="atLeast"/>
              <w:rPr>
                <w:rFonts w:ascii="Arial" w:hAnsi="Arial" w:cs="Arial"/>
              </w:rPr>
            </w:pPr>
            <w:r w:rsidRPr="00075296">
              <w:rPr>
                <w:rFonts w:ascii="Arial" w:hAnsi="Arial" w:cs="Arial"/>
              </w:rPr>
              <w:t xml:space="preserve">Fentanyl (Schedule II) </w:t>
            </w:r>
          </w:p>
        </w:tc>
        <w:tc>
          <w:tcPr>
            <w:tcW w:w="1400" w:type="dxa"/>
            <w:tcBorders>
              <w:top w:val="nil"/>
              <w:left w:val="nil"/>
              <w:bottom w:val="single" w:sz="12" w:space="0" w:color="0000FF"/>
              <w:right w:val="single" w:sz="12" w:space="0" w:color="0000FF"/>
            </w:tcBorders>
            <w:tcMar>
              <w:top w:w="0" w:type="dxa"/>
              <w:left w:w="30" w:type="dxa"/>
              <w:bottom w:w="0" w:type="dxa"/>
              <w:right w:w="30" w:type="dxa"/>
            </w:tcMar>
            <w:hideMark/>
          </w:tcPr>
          <w:p w14:paraId="45279A26" w14:textId="77777777" w:rsidR="00075296" w:rsidRPr="00075296" w:rsidRDefault="00075296">
            <w:pPr>
              <w:spacing w:after="150" w:line="285" w:lineRule="atLeast"/>
              <w:rPr>
                <w:rFonts w:ascii="Arial" w:hAnsi="Arial" w:cs="Arial"/>
              </w:rPr>
            </w:pPr>
            <w:r w:rsidRPr="00075296">
              <w:rPr>
                <w:rFonts w:ascii="Arial" w:hAnsi="Arial" w:cs="Arial"/>
              </w:rPr>
              <w:t xml:space="preserve">40 - 399 </w:t>
            </w:r>
            <w:proofErr w:type="spellStart"/>
            <w:r w:rsidRPr="00075296">
              <w:rPr>
                <w:rFonts w:ascii="Arial" w:hAnsi="Arial" w:cs="Arial"/>
              </w:rPr>
              <w:t>gms</w:t>
            </w:r>
            <w:proofErr w:type="spellEnd"/>
            <w:r w:rsidRPr="00075296">
              <w:rPr>
                <w:rFonts w:ascii="Arial" w:hAnsi="Arial" w:cs="Arial"/>
              </w:rPr>
              <w:t xml:space="preserve"> mixture </w:t>
            </w:r>
          </w:p>
        </w:tc>
        <w:tc>
          <w:tcPr>
            <w:tcW w:w="0" w:type="auto"/>
            <w:vMerge/>
            <w:tcBorders>
              <w:top w:val="nil"/>
              <w:left w:val="nil"/>
              <w:bottom w:val="single" w:sz="12" w:space="0" w:color="0000FF"/>
              <w:right w:val="single" w:sz="12" w:space="0" w:color="0000FF"/>
            </w:tcBorders>
            <w:vAlign w:val="center"/>
            <w:hideMark/>
          </w:tcPr>
          <w:p w14:paraId="1B516ECF" w14:textId="77777777" w:rsidR="00075296" w:rsidRPr="00075296" w:rsidRDefault="00075296">
            <w:pPr>
              <w:rPr>
                <w:rFonts w:ascii="Arial" w:hAnsi="Arial" w:cs="Arial"/>
              </w:rPr>
            </w:pPr>
          </w:p>
        </w:tc>
        <w:tc>
          <w:tcPr>
            <w:tcW w:w="1406" w:type="dxa"/>
            <w:tcBorders>
              <w:top w:val="nil"/>
              <w:left w:val="nil"/>
              <w:bottom w:val="single" w:sz="12" w:space="0" w:color="0000FF"/>
              <w:right w:val="single" w:sz="12" w:space="0" w:color="0000FF"/>
            </w:tcBorders>
            <w:tcMar>
              <w:top w:w="0" w:type="dxa"/>
              <w:left w:w="30" w:type="dxa"/>
              <w:bottom w:w="0" w:type="dxa"/>
              <w:right w:w="30" w:type="dxa"/>
            </w:tcMar>
            <w:hideMark/>
          </w:tcPr>
          <w:p w14:paraId="1E14CE39" w14:textId="77777777" w:rsidR="00075296" w:rsidRPr="00075296" w:rsidRDefault="00075296">
            <w:pPr>
              <w:spacing w:after="150" w:line="285" w:lineRule="atLeast"/>
              <w:rPr>
                <w:rFonts w:ascii="Arial" w:hAnsi="Arial" w:cs="Arial"/>
              </w:rPr>
            </w:pPr>
            <w:r w:rsidRPr="00075296">
              <w:rPr>
                <w:rFonts w:ascii="Arial" w:hAnsi="Arial" w:cs="Arial"/>
              </w:rPr>
              <w:t xml:space="preserve">400 </w:t>
            </w:r>
            <w:proofErr w:type="spellStart"/>
            <w:r w:rsidRPr="00075296">
              <w:rPr>
                <w:rFonts w:ascii="Arial" w:hAnsi="Arial" w:cs="Arial"/>
              </w:rPr>
              <w:t>gms</w:t>
            </w:r>
            <w:proofErr w:type="spellEnd"/>
            <w:r w:rsidRPr="00075296">
              <w:rPr>
                <w:rFonts w:ascii="Arial" w:hAnsi="Arial" w:cs="Arial"/>
              </w:rPr>
              <w:t xml:space="preserve"> or more mixture </w:t>
            </w:r>
          </w:p>
        </w:tc>
        <w:tc>
          <w:tcPr>
            <w:tcW w:w="0" w:type="auto"/>
            <w:vMerge/>
            <w:tcBorders>
              <w:top w:val="nil"/>
              <w:left w:val="nil"/>
              <w:bottom w:val="single" w:sz="12" w:space="0" w:color="0000FF"/>
              <w:right w:val="single" w:sz="12" w:space="0" w:color="0000FF"/>
            </w:tcBorders>
            <w:vAlign w:val="center"/>
            <w:hideMark/>
          </w:tcPr>
          <w:p w14:paraId="1F381E13" w14:textId="77777777" w:rsidR="00075296" w:rsidRPr="00075296" w:rsidRDefault="00075296">
            <w:pPr>
              <w:rPr>
                <w:rFonts w:ascii="Arial" w:hAnsi="Arial" w:cs="Arial"/>
              </w:rPr>
            </w:pPr>
          </w:p>
        </w:tc>
      </w:tr>
      <w:tr w:rsidR="00075296" w:rsidRPr="00075296" w14:paraId="0A598031" w14:textId="77777777" w:rsidTr="00075296">
        <w:trPr>
          <w:jc w:val="center"/>
        </w:trPr>
        <w:tc>
          <w:tcPr>
            <w:tcW w:w="2358" w:type="dxa"/>
            <w:tcBorders>
              <w:top w:val="nil"/>
              <w:left w:val="single" w:sz="12" w:space="0" w:color="0000FF"/>
              <w:bottom w:val="single" w:sz="12" w:space="0" w:color="0000FF"/>
              <w:right w:val="single" w:sz="12" w:space="0" w:color="0000FF"/>
            </w:tcBorders>
            <w:tcMar>
              <w:top w:w="0" w:type="dxa"/>
              <w:left w:w="30" w:type="dxa"/>
              <w:bottom w:w="0" w:type="dxa"/>
              <w:right w:w="30" w:type="dxa"/>
            </w:tcMar>
            <w:hideMark/>
          </w:tcPr>
          <w:p w14:paraId="1622B259" w14:textId="77777777" w:rsidR="00075296" w:rsidRPr="00075296" w:rsidRDefault="00075296">
            <w:pPr>
              <w:spacing w:after="150" w:line="285" w:lineRule="atLeast"/>
              <w:rPr>
                <w:rFonts w:ascii="Arial" w:hAnsi="Arial" w:cs="Arial"/>
              </w:rPr>
            </w:pPr>
            <w:r w:rsidRPr="00075296">
              <w:rPr>
                <w:rFonts w:ascii="Arial" w:hAnsi="Arial" w:cs="Arial"/>
              </w:rPr>
              <w:t xml:space="preserve">Fentanyl Analogue (Schedule I) </w:t>
            </w:r>
          </w:p>
        </w:tc>
        <w:tc>
          <w:tcPr>
            <w:tcW w:w="1400" w:type="dxa"/>
            <w:tcBorders>
              <w:top w:val="nil"/>
              <w:left w:val="nil"/>
              <w:bottom w:val="single" w:sz="12" w:space="0" w:color="0000FF"/>
              <w:right w:val="single" w:sz="12" w:space="0" w:color="0000FF"/>
            </w:tcBorders>
            <w:tcMar>
              <w:top w:w="0" w:type="dxa"/>
              <w:left w:w="30" w:type="dxa"/>
              <w:bottom w:w="0" w:type="dxa"/>
              <w:right w:w="30" w:type="dxa"/>
            </w:tcMar>
            <w:hideMark/>
          </w:tcPr>
          <w:p w14:paraId="4C20B348" w14:textId="77777777" w:rsidR="00075296" w:rsidRPr="00075296" w:rsidRDefault="00075296">
            <w:pPr>
              <w:spacing w:after="150" w:line="285" w:lineRule="atLeast"/>
              <w:rPr>
                <w:rFonts w:ascii="Arial" w:hAnsi="Arial" w:cs="Arial"/>
              </w:rPr>
            </w:pPr>
            <w:r w:rsidRPr="00075296">
              <w:rPr>
                <w:rFonts w:ascii="Arial" w:hAnsi="Arial" w:cs="Arial"/>
              </w:rPr>
              <w:t xml:space="preserve">10 - 99 </w:t>
            </w:r>
            <w:proofErr w:type="spellStart"/>
            <w:r w:rsidRPr="00075296">
              <w:rPr>
                <w:rFonts w:ascii="Arial" w:hAnsi="Arial" w:cs="Arial"/>
              </w:rPr>
              <w:t>gms</w:t>
            </w:r>
            <w:proofErr w:type="spellEnd"/>
            <w:r w:rsidRPr="00075296">
              <w:rPr>
                <w:rFonts w:ascii="Arial" w:hAnsi="Arial" w:cs="Arial"/>
              </w:rPr>
              <w:t xml:space="preserve"> mixture </w:t>
            </w:r>
          </w:p>
        </w:tc>
        <w:tc>
          <w:tcPr>
            <w:tcW w:w="0" w:type="auto"/>
            <w:vMerge/>
            <w:tcBorders>
              <w:top w:val="nil"/>
              <w:left w:val="nil"/>
              <w:bottom w:val="single" w:sz="12" w:space="0" w:color="0000FF"/>
              <w:right w:val="single" w:sz="12" w:space="0" w:color="0000FF"/>
            </w:tcBorders>
            <w:vAlign w:val="center"/>
            <w:hideMark/>
          </w:tcPr>
          <w:p w14:paraId="1D8ABEC7" w14:textId="77777777" w:rsidR="00075296" w:rsidRPr="00075296" w:rsidRDefault="00075296">
            <w:pPr>
              <w:rPr>
                <w:rFonts w:ascii="Arial" w:hAnsi="Arial" w:cs="Arial"/>
              </w:rPr>
            </w:pPr>
          </w:p>
        </w:tc>
        <w:tc>
          <w:tcPr>
            <w:tcW w:w="1406" w:type="dxa"/>
            <w:tcBorders>
              <w:top w:val="nil"/>
              <w:left w:val="nil"/>
              <w:bottom w:val="single" w:sz="12" w:space="0" w:color="0000FF"/>
              <w:right w:val="single" w:sz="12" w:space="0" w:color="0000FF"/>
            </w:tcBorders>
            <w:tcMar>
              <w:top w:w="0" w:type="dxa"/>
              <w:left w:w="30" w:type="dxa"/>
              <w:bottom w:w="0" w:type="dxa"/>
              <w:right w:w="30" w:type="dxa"/>
            </w:tcMar>
            <w:hideMark/>
          </w:tcPr>
          <w:p w14:paraId="6EC5A82A" w14:textId="77777777" w:rsidR="00075296" w:rsidRPr="00075296" w:rsidRDefault="00075296">
            <w:pPr>
              <w:spacing w:after="150" w:line="285" w:lineRule="atLeast"/>
              <w:rPr>
                <w:rFonts w:ascii="Arial" w:hAnsi="Arial" w:cs="Arial"/>
              </w:rPr>
            </w:pPr>
            <w:r w:rsidRPr="00075296">
              <w:rPr>
                <w:rFonts w:ascii="Arial" w:hAnsi="Arial" w:cs="Arial"/>
              </w:rPr>
              <w:t xml:space="preserve">100 </w:t>
            </w:r>
            <w:proofErr w:type="spellStart"/>
            <w:r w:rsidRPr="00075296">
              <w:rPr>
                <w:rFonts w:ascii="Arial" w:hAnsi="Arial" w:cs="Arial"/>
              </w:rPr>
              <w:t>gms</w:t>
            </w:r>
            <w:proofErr w:type="spellEnd"/>
            <w:r w:rsidRPr="00075296">
              <w:rPr>
                <w:rFonts w:ascii="Arial" w:hAnsi="Arial" w:cs="Arial"/>
              </w:rPr>
              <w:t xml:space="preserve"> or more mixture </w:t>
            </w:r>
          </w:p>
        </w:tc>
        <w:tc>
          <w:tcPr>
            <w:tcW w:w="0" w:type="auto"/>
            <w:vMerge/>
            <w:tcBorders>
              <w:top w:val="nil"/>
              <w:left w:val="nil"/>
              <w:bottom w:val="single" w:sz="12" w:space="0" w:color="0000FF"/>
              <w:right w:val="single" w:sz="12" w:space="0" w:color="0000FF"/>
            </w:tcBorders>
            <w:vAlign w:val="center"/>
            <w:hideMark/>
          </w:tcPr>
          <w:p w14:paraId="2FD1453A" w14:textId="77777777" w:rsidR="00075296" w:rsidRPr="00075296" w:rsidRDefault="00075296">
            <w:pPr>
              <w:rPr>
                <w:rFonts w:ascii="Arial" w:hAnsi="Arial" w:cs="Arial"/>
              </w:rPr>
            </w:pPr>
          </w:p>
        </w:tc>
      </w:tr>
      <w:tr w:rsidR="00075296" w:rsidRPr="00075296" w14:paraId="454FD8DA" w14:textId="77777777" w:rsidTr="00075296">
        <w:trPr>
          <w:jc w:val="center"/>
        </w:trPr>
        <w:tc>
          <w:tcPr>
            <w:tcW w:w="2358" w:type="dxa"/>
            <w:tcBorders>
              <w:top w:val="nil"/>
              <w:left w:val="single" w:sz="12" w:space="0" w:color="0000FF"/>
              <w:bottom w:val="single" w:sz="12" w:space="0" w:color="0000FF"/>
              <w:right w:val="single" w:sz="12" w:space="0" w:color="0000FF"/>
            </w:tcBorders>
            <w:tcMar>
              <w:top w:w="0" w:type="dxa"/>
              <w:left w:w="30" w:type="dxa"/>
              <w:bottom w:w="0" w:type="dxa"/>
              <w:right w:w="30" w:type="dxa"/>
            </w:tcMar>
            <w:hideMark/>
          </w:tcPr>
          <w:p w14:paraId="26977B2B" w14:textId="77777777" w:rsidR="00075296" w:rsidRPr="00075296" w:rsidRDefault="00075296">
            <w:pPr>
              <w:spacing w:after="150" w:line="285" w:lineRule="atLeast"/>
              <w:rPr>
                <w:rFonts w:ascii="Arial" w:hAnsi="Arial" w:cs="Arial"/>
              </w:rPr>
            </w:pPr>
            <w:r w:rsidRPr="00075296">
              <w:rPr>
                <w:rFonts w:ascii="Arial" w:hAnsi="Arial" w:cs="Arial"/>
              </w:rPr>
              <w:t xml:space="preserve">Heroin (Schedule I) </w:t>
            </w:r>
          </w:p>
        </w:tc>
        <w:tc>
          <w:tcPr>
            <w:tcW w:w="1400" w:type="dxa"/>
            <w:tcBorders>
              <w:top w:val="nil"/>
              <w:left w:val="nil"/>
              <w:bottom w:val="single" w:sz="12" w:space="0" w:color="0000FF"/>
              <w:right w:val="single" w:sz="12" w:space="0" w:color="0000FF"/>
            </w:tcBorders>
            <w:tcMar>
              <w:top w:w="0" w:type="dxa"/>
              <w:left w:w="30" w:type="dxa"/>
              <w:bottom w:w="0" w:type="dxa"/>
              <w:right w:w="30" w:type="dxa"/>
            </w:tcMar>
            <w:hideMark/>
          </w:tcPr>
          <w:p w14:paraId="1C5CF046" w14:textId="77777777" w:rsidR="00075296" w:rsidRPr="00075296" w:rsidRDefault="00075296">
            <w:pPr>
              <w:spacing w:after="150" w:line="285" w:lineRule="atLeast"/>
              <w:rPr>
                <w:rFonts w:ascii="Arial" w:hAnsi="Arial" w:cs="Arial"/>
              </w:rPr>
            </w:pPr>
            <w:r w:rsidRPr="00075296">
              <w:rPr>
                <w:rFonts w:ascii="Arial" w:hAnsi="Arial" w:cs="Arial"/>
              </w:rPr>
              <w:t xml:space="preserve">100 - 999 </w:t>
            </w:r>
            <w:proofErr w:type="spellStart"/>
            <w:r w:rsidRPr="00075296">
              <w:rPr>
                <w:rFonts w:ascii="Arial" w:hAnsi="Arial" w:cs="Arial"/>
              </w:rPr>
              <w:t>gms</w:t>
            </w:r>
            <w:proofErr w:type="spellEnd"/>
            <w:r w:rsidRPr="00075296">
              <w:rPr>
                <w:rFonts w:ascii="Arial" w:hAnsi="Arial" w:cs="Arial"/>
              </w:rPr>
              <w:t xml:space="preserve"> mixture </w:t>
            </w:r>
          </w:p>
        </w:tc>
        <w:tc>
          <w:tcPr>
            <w:tcW w:w="0" w:type="auto"/>
            <w:vMerge/>
            <w:tcBorders>
              <w:top w:val="nil"/>
              <w:left w:val="nil"/>
              <w:bottom w:val="single" w:sz="12" w:space="0" w:color="0000FF"/>
              <w:right w:val="single" w:sz="12" w:space="0" w:color="0000FF"/>
            </w:tcBorders>
            <w:vAlign w:val="center"/>
            <w:hideMark/>
          </w:tcPr>
          <w:p w14:paraId="347A6421" w14:textId="77777777" w:rsidR="00075296" w:rsidRPr="00075296" w:rsidRDefault="00075296">
            <w:pPr>
              <w:rPr>
                <w:rFonts w:ascii="Arial" w:hAnsi="Arial" w:cs="Arial"/>
              </w:rPr>
            </w:pPr>
          </w:p>
        </w:tc>
        <w:tc>
          <w:tcPr>
            <w:tcW w:w="1406" w:type="dxa"/>
            <w:tcBorders>
              <w:top w:val="nil"/>
              <w:left w:val="nil"/>
              <w:bottom w:val="single" w:sz="12" w:space="0" w:color="0000FF"/>
              <w:right w:val="single" w:sz="12" w:space="0" w:color="0000FF"/>
            </w:tcBorders>
            <w:tcMar>
              <w:top w:w="0" w:type="dxa"/>
              <w:left w:w="30" w:type="dxa"/>
              <w:bottom w:w="0" w:type="dxa"/>
              <w:right w:w="30" w:type="dxa"/>
            </w:tcMar>
            <w:hideMark/>
          </w:tcPr>
          <w:p w14:paraId="56601064" w14:textId="77777777" w:rsidR="00075296" w:rsidRPr="00075296" w:rsidRDefault="00075296">
            <w:pPr>
              <w:spacing w:after="150" w:line="285" w:lineRule="atLeast"/>
              <w:rPr>
                <w:rFonts w:ascii="Arial" w:hAnsi="Arial" w:cs="Arial"/>
              </w:rPr>
            </w:pPr>
            <w:r w:rsidRPr="00075296">
              <w:rPr>
                <w:rFonts w:ascii="Arial" w:hAnsi="Arial" w:cs="Arial"/>
              </w:rPr>
              <w:t xml:space="preserve">1 kg or more mixture </w:t>
            </w:r>
          </w:p>
        </w:tc>
        <w:tc>
          <w:tcPr>
            <w:tcW w:w="0" w:type="auto"/>
            <w:vMerge/>
            <w:tcBorders>
              <w:top w:val="nil"/>
              <w:left w:val="nil"/>
              <w:bottom w:val="single" w:sz="12" w:space="0" w:color="0000FF"/>
              <w:right w:val="single" w:sz="12" w:space="0" w:color="0000FF"/>
            </w:tcBorders>
            <w:vAlign w:val="center"/>
            <w:hideMark/>
          </w:tcPr>
          <w:p w14:paraId="3E61B454" w14:textId="77777777" w:rsidR="00075296" w:rsidRPr="00075296" w:rsidRDefault="00075296">
            <w:pPr>
              <w:rPr>
                <w:rFonts w:ascii="Arial" w:hAnsi="Arial" w:cs="Arial"/>
              </w:rPr>
            </w:pPr>
          </w:p>
        </w:tc>
      </w:tr>
      <w:tr w:rsidR="00075296" w:rsidRPr="00075296" w14:paraId="7D4CBE65" w14:textId="77777777" w:rsidTr="00075296">
        <w:trPr>
          <w:jc w:val="center"/>
        </w:trPr>
        <w:tc>
          <w:tcPr>
            <w:tcW w:w="2358" w:type="dxa"/>
            <w:tcBorders>
              <w:top w:val="nil"/>
              <w:left w:val="single" w:sz="12" w:space="0" w:color="0000FF"/>
              <w:bottom w:val="single" w:sz="12" w:space="0" w:color="0000FF"/>
              <w:right w:val="single" w:sz="12" w:space="0" w:color="0000FF"/>
            </w:tcBorders>
            <w:tcMar>
              <w:top w:w="0" w:type="dxa"/>
              <w:left w:w="30" w:type="dxa"/>
              <w:bottom w:w="0" w:type="dxa"/>
              <w:right w:w="30" w:type="dxa"/>
            </w:tcMar>
            <w:hideMark/>
          </w:tcPr>
          <w:p w14:paraId="233EF0F9" w14:textId="77777777" w:rsidR="00075296" w:rsidRPr="00075296" w:rsidRDefault="00075296">
            <w:pPr>
              <w:spacing w:after="150" w:line="285" w:lineRule="atLeast"/>
              <w:rPr>
                <w:rFonts w:ascii="Arial" w:hAnsi="Arial" w:cs="Arial"/>
              </w:rPr>
            </w:pPr>
            <w:r w:rsidRPr="00075296">
              <w:rPr>
                <w:rFonts w:ascii="Arial" w:hAnsi="Arial" w:cs="Arial"/>
              </w:rPr>
              <w:t xml:space="preserve">LSD (Schedule I) </w:t>
            </w:r>
          </w:p>
        </w:tc>
        <w:tc>
          <w:tcPr>
            <w:tcW w:w="1400" w:type="dxa"/>
            <w:tcBorders>
              <w:top w:val="nil"/>
              <w:left w:val="nil"/>
              <w:bottom w:val="single" w:sz="12" w:space="0" w:color="0000FF"/>
              <w:right w:val="single" w:sz="12" w:space="0" w:color="0000FF"/>
            </w:tcBorders>
            <w:tcMar>
              <w:top w:w="0" w:type="dxa"/>
              <w:left w:w="30" w:type="dxa"/>
              <w:bottom w:w="0" w:type="dxa"/>
              <w:right w:w="30" w:type="dxa"/>
            </w:tcMar>
            <w:hideMark/>
          </w:tcPr>
          <w:p w14:paraId="40AF48C3" w14:textId="77777777" w:rsidR="00075296" w:rsidRPr="00075296" w:rsidRDefault="00075296">
            <w:pPr>
              <w:spacing w:after="150" w:line="285" w:lineRule="atLeast"/>
              <w:rPr>
                <w:rFonts w:ascii="Arial" w:hAnsi="Arial" w:cs="Arial"/>
              </w:rPr>
            </w:pPr>
            <w:r w:rsidRPr="00075296">
              <w:rPr>
                <w:rFonts w:ascii="Arial" w:hAnsi="Arial" w:cs="Arial"/>
              </w:rPr>
              <w:t xml:space="preserve">1 - 9 </w:t>
            </w:r>
            <w:proofErr w:type="spellStart"/>
            <w:r w:rsidRPr="00075296">
              <w:rPr>
                <w:rFonts w:ascii="Arial" w:hAnsi="Arial" w:cs="Arial"/>
              </w:rPr>
              <w:t>gms</w:t>
            </w:r>
            <w:proofErr w:type="spellEnd"/>
            <w:r w:rsidRPr="00075296">
              <w:rPr>
                <w:rFonts w:ascii="Arial" w:hAnsi="Arial" w:cs="Arial"/>
              </w:rPr>
              <w:t xml:space="preserve"> mixture </w:t>
            </w:r>
          </w:p>
        </w:tc>
        <w:tc>
          <w:tcPr>
            <w:tcW w:w="0" w:type="auto"/>
            <w:vMerge/>
            <w:tcBorders>
              <w:top w:val="nil"/>
              <w:left w:val="nil"/>
              <w:bottom w:val="single" w:sz="12" w:space="0" w:color="0000FF"/>
              <w:right w:val="single" w:sz="12" w:space="0" w:color="0000FF"/>
            </w:tcBorders>
            <w:vAlign w:val="center"/>
            <w:hideMark/>
          </w:tcPr>
          <w:p w14:paraId="1F87458C" w14:textId="77777777" w:rsidR="00075296" w:rsidRPr="00075296" w:rsidRDefault="00075296">
            <w:pPr>
              <w:rPr>
                <w:rFonts w:ascii="Arial" w:hAnsi="Arial" w:cs="Arial"/>
              </w:rPr>
            </w:pPr>
          </w:p>
        </w:tc>
        <w:tc>
          <w:tcPr>
            <w:tcW w:w="1406" w:type="dxa"/>
            <w:tcBorders>
              <w:top w:val="nil"/>
              <w:left w:val="nil"/>
              <w:bottom w:val="single" w:sz="12" w:space="0" w:color="0000FF"/>
              <w:right w:val="single" w:sz="12" w:space="0" w:color="0000FF"/>
            </w:tcBorders>
            <w:tcMar>
              <w:top w:w="0" w:type="dxa"/>
              <w:left w:w="30" w:type="dxa"/>
              <w:bottom w:w="0" w:type="dxa"/>
              <w:right w:w="30" w:type="dxa"/>
            </w:tcMar>
            <w:hideMark/>
          </w:tcPr>
          <w:p w14:paraId="2383C422" w14:textId="77777777" w:rsidR="00075296" w:rsidRPr="00075296" w:rsidRDefault="00075296">
            <w:pPr>
              <w:spacing w:after="150" w:line="285" w:lineRule="atLeast"/>
              <w:rPr>
                <w:rFonts w:ascii="Arial" w:hAnsi="Arial" w:cs="Arial"/>
              </w:rPr>
            </w:pPr>
            <w:r w:rsidRPr="00075296">
              <w:rPr>
                <w:rFonts w:ascii="Arial" w:hAnsi="Arial" w:cs="Arial"/>
              </w:rPr>
              <w:t xml:space="preserve">10 </w:t>
            </w:r>
            <w:proofErr w:type="spellStart"/>
            <w:r w:rsidRPr="00075296">
              <w:rPr>
                <w:rFonts w:ascii="Arial" w:hAnsi="Arial" w:cs="Arial"/>
              </w:rPr>
              <w:t>gms</w:t>
            </w:r>
            <w:proofErr w:type="spellEnd"/>
            <w:r w:rsidRPr="00075296">
              <w:rPr>
                <w:rFonts w:ascii="Arial" w:hAnsi="Arial" w:cs="Arial"/>
              </w:rPr>
              <w:t xml:space="preserve"> or more mixture </w:t>
            </w:r>
          </w:p>
        </w:tc>
        <w:tc>
          <w:tcPr>
            <w:tcW w:w="0" w:type="auto"/>
            <w:vMerge/>
            <w:tcBorders>
              <w:top w:val="nil"/>
              <w:left w:val="nil"/>
              <w:bottom w:val="single" w:sz="12" w:space="0" w:color="0000FF"/>
              <w:right w:val="single" w:sz="12" w:space="0" w:color="0000FF"/>
            </w:tcBorders>
            <w:vAlign w:val="center"/>
            <w:hideMark/>
          </w:tcPr>
          <w:p w14:paraId="11080FA4" w14:textId="77777777" w:rsidR="00075296" w:rsidRPr="00075296" w:rsidRDefault="00075296">
            <w:pPr>
              <w:rPr>
                <w:rFonts w:ascii="Arial" w:hAnsi="Arial" w:cs="Arial"/>
              </w:rPr>
            </w:pPr>
          </w:p>
        </w:tc>
      </w:tr>
      <w:tr w:rsidR="00075296" w:rsidRPr="00075296" w14:paraId="5005D039" w14:textId="77777777" w:rsidTr="00075296">
        <w:trPr>
          <w:jc w:val="center"/>
        </w:trPr>
        <w:tc>
          <w:tcPr>
            <w:tcW w:w="2358" w:type="dxa"/>
            <w:tcBorders>
              <w:top w:val="nil"/>
              <w:left w:val="single" w:sz="12" w:space="0" w:color="0000FF"/>
              <w:bottom w:val="single" w:sz="12" w:space="0" w:color="0000FF"/>
              <w:right w:val="single" w:sz="12" w:space="0" w:color="0000FF"/>
            </w:tcBorders>
            <w:tcMar>
              <w:top w:w="0" w:type="dxa"/>
              <w:left w:w="30" w:type="dxa"/>
              <w:bottom w:w="0" w:type="dxa"/>
              <w:right w:w="30" w:type="dxa"/>
            </w:tcMar>
            <w:hideMark/>
          </w:tcPr>
          <w:p w14:paraId="04313543" w14:textId="77777777" w:rsidR="00075296" w:rsidRPr="00075296" w:rsidRDefault="00075296">
            <w:pPr>
              <w:spacing w:after="150" w:line="285" w:lineRule="atLeast"/>
              <w:rPr>
                <w:rFonts w:ascii="Arial" w:hAnsi="Arial" w:cs="Arial"/>
              </w:rPr>
            </w:pPr>
            <w:r w:rsidRPr="00075296">
              <w:rPr>
                <w:rFonts w:ascii="Arial" w:hAnsi="Arial" w:cs="Arial"/>
              </w:rPr>
              <w:t xml:space="preserve">Methamphetamine (Schedule II) </w:t>
            </w:r>
          </w:p>
        </w:tc>
        <w:tc>
          <w:tcPr>
            <w:tcW w:w="1400" w:type="dxa"/>
            <w:tcBorders>
              <w:top w:val="nil"/>
              <w:left w:val="nil"/>
              <w:bottom w:val="single" w:sz="12" w:space="0" w:color="0000FF"/>
              <w:right w:val="single" w:sz="12" w:space="0" w:color="0000FF"/>
            </w:tcBorders>
            <w:tcMar>
              <w:top w:w="0" w:type="dxa"/>
              <w:left w:w="30" w:type="dxa"/>
              <w:bottom w:w="0" w:type="dxa"/>
              <w:right w:w="30" w:type="dxa"/>
            </w:tcMar>
            <w:hideMark/>
          </w:tcPr>
          <w:p w14:paraId="6ED4F586" w14:textId="77777777" w:rsidR="00075296" w:rsidRPr="00075296" w:rsidRDefault="00075296">
            <w:pPr>
              <w:spacing w:after="150" w:line="285" w:lineRule="atLeast"/>
              <w:rPr>
                <w:rFonts w:ascii="Arial" w:hAnsi="Arial" w:cs="Arial"/>
              </w:rPr>
            </w:pPr>
            <w:r w:rsidRPr="00075296">
              <w:rPr>
                <w:rFonts w:ascii="Arial" w:hAnsi="Arial" w:cs="Arial"/>
              </w:rPr>
              <w:t xml:space="preserve">5 - 49 </w:t>
            </w:r>
            <w:proofErr w:type="spellStart"/>
            <w:r w:rsidRPr="00075296">
              <w:rPr>
                <w:rFonts w:ascii="Arial" w:hAnsi="Arial" w:cs="Arial"/>
              </w:rPr>
              <w:t>gms</w:t>
            </w:r>
            <w:proofErr w:type="spellEnd"/>
            <w:r w:rsidRPr="00075296">
              <w:rPr>
                <w:rFonts w:ascii="Arial" w:hAnsi="Arial" w:cs="Arial"/>
              </w:rPr>
              <w:t xml:space="preserve"> pure or 50 - 499 </w:t>
            </w:r>
            <w:proofErr w:type="spellStart"/>
            <w:r w:rsidRPr="00075296">
              <w:rPr>
                <w:rFonts w:ascii="Arial" w:hAnsi="Arial" w:cs="Arial"/>
              </w:rPr>
              <w:t>gms</w:t>
            </w:r>
            <w:proofErr w:type="spellEnd"/>
            <w:r w:rsidRPr="00075296">
              <w:rPr>
                <w:rFonts w:ascii="Arial" w:hAnsi="Arial" w:cs="Arial"/>
              </w:rPr>
              <w:t xml:space="preserve"> mixture </w:t>
            </w:r>
          </w:p>
        </w:tc>
        <w:tc>
          <w:tcPr>
            <w:tcW w:w="0" w:type="auto"/>
            <w:vMerge/>
            <w:tcBorders>
              <w:top w:val="nil"/>
              <w:left w:val="nil"/>
              <w:bottom w:val="single" w:sz="12" w:space="0" w:color="0000FF"/>
              <w:right w:val="single" w:sz="12" w:space="0" w:color="0000FF"/>
            </w:tcBorders>
            <w:vAlign w:val="center"/>
            <w:hideMark/>
          </w:tcPr>
          <w:p w14:paraId="7ADBF9A1" w14:textId="77777777" w:rsidR="00075296" w:rsidRPr="00075296" w:rsidRDefault="00075296">
            <w:pPr>
              <w:rPr>
                <w:rFonts w:ascii="Arial" w:hAnsi="Arial" w:cs="Arial"/>
              </w:rPr>
            </w:pPr>
          </w:p>
        </w:tc>
        <w:tc>
          <w:tcPr>
            <w:tcW w:w="1406" w:type="dxa"/>
            <w:tcBorders>
              <w:top w:val="nil"/>
              <w:left w:val="nil"/>
              <w:bottom w:val="single" w:sz="12" w:space="0" w:color="0000FF"/>
              <w:right w:val="single" w:sz="12" w:space="0" w:color="0000FF"/>
            </w:tcBorders>
            <w:tcMar>
              <w:top w:w="0" w:type="dxa"/>
              <w:left w:w="30" w:type="dxa"/>
              <w:bottom w:w="0" w:type="dxa"/>
              <w:right w:w="30" w:type="dxa"/>
            </w:tcMar>
            <w:hideMark/>
          </w:tcPr>
          <w:p w14:paraId="6404A1AD" w14:textId="77777777" w:rsidR="00075296" w:rsidRPr="00075296" w:rsidRDefault="00075296">
            <w:pPr>
              <w:spacing w:after="150" w:line="285" w:lineRule="atLeast"/>
              <w:rPr>
                <w:rFonts w:ascii="Arial" w:hAnsi="Arial" w:cs="Arial"/>
              </w:rPr>
            </w:pPr>
            <w:r w:rsidRPr="00075296">
              <w:rPr>
                <w:rFonts w:ascii="Arial" w:hAnsi="Arial" w:cs="Arial"/>
              </w:rPr>
              <w:t xml:space="preserve">50 </w:t>
            </w:r>
            <w:proofErr w:type="spellStart"/>
            <w:r w:rsidRPr="00075296">
              <w:rPr>
                <w:rFonts w:ascii="Arial" w:hAnsi="Arial" w:cs="Arial"/>
              </w:rPr>
              <w:t>gms</w:t>
            </w:r>
            <w:proofErr w:type="spellEnd"/>
            <w:r w:rsidRPr="00075296">
              <w:rPr>
                <w:rFonts w:ascii="Arial" w:hAnsi="Arial" w:cs="Arial"/>
              </w:rPr>
              <w:t xml:space="preserve"> or </w:t>
            </w:r>
            <w:proofErr w:type="gramStart"/>
            <w:r w:rsidRPr="00075296">
              <w:rPr>
                <w:rFonts w:ascii="Arial" w:hAnsi="Arial" w:cs="Arial"/>
              </w:rPr>
              <w:t>more pure</w:t>
            </w:r>
            <w:proofErr w:type="gramEnd"/>
            <w:r w:rsidRPr="00075296">
              <w:rPr>
                <w:rFonts w:ascii="Arial" w:hAnsi="Arial" w:cs="Arial"/>
              </w:rPr>
              <w:t xml:space="preserve"> or 500 </w:t>
            </w:r>
            <w:proofErr w:type="spellStart"/>
            <w:r w:rsidRPr="00075296">
              <w:rPr>
                <w:rFonts w:ascii="Arial" w:hAnsi="Arial" w:cs="Arial"/>
              </w:rPr>
              <w:t>gms</w:t>
            </w:r>
            <w:proofErr w:type="spellEnd"/>
            <w:r w:rsidRPr="00075296">
              <w:rPr>
                <w:rFonts w:ascii="Arial" w:hAnsi="Arial" w:cs="Arial"/>
              </w:rPr>
              <w:t xml:space="preserve"> or more mixture </w:t>
            </w:r>
          </w:p>
        </w:tc>
        <w:tc>
          <w:tcPr>
            <w:tcW w:w="0" w:type="auto"/>
            <w:vMerge/>
            <w:tcBorders>
              <w:top w:val="nil"/>
              <w:left w:val="nil"/>
              <w:bottom w:val="single" w:sz="12" w:space="0" w:color="0000FF"/>
              <w:right w:val="single" w:sz="12" w:space="0" w:color="0000FF"/>
            </w:tcBorders>
            <w:vAlign w:val="center"/>
            <w:hideMark/>
          </w:tcPr>
          <w:p w14:paraId="20BB645C" w14:textId="77777777" w:rsidR="00075296" w:rsidRPr="00075296" w:rsidRDefault="00075296">
            <w:pPr>
              <w:rPr>
                <w:rFonts w:ascii="Arial" w:hAnsi="Arial" w:cs="Arial"/>
              </w:rPr>
            </w:pPr>
          </w:p>
        </w:tc>
      </w:tr>
      <w:tr w:rsidR="00075296" w:rsidRPr="00075296" w14:paraId="2028F736" w14:textId="77777777" w:rsidTr="00075296">
        <w:trPr>
          <w:jc w:val="center"/>
        </w:trPr>
        <w:tc>
          <w:tcPr>
            <w:tcW w:w="2358" w:type="dxa"/>
            <w:tcBorders>
              <w:top w:val="nil"/>
              <w:left w:val="single" w:sz="12" w:space="0" w:color="0000FF"/>
              <w:bottom w:val="single" w:sz="12" w:space="0" w:color="0000FF"/>
              <w:right w:val="single" w:sz="12" w:space="0" w:color="0000FF"/>
            </w:tcBorders>
            <w:tcMar>
              <w:top w:w="0" w:type="dxa"/>
              <w:left w:w="30" w:type="dxa"/>
              <w:bottom w:w="0" w:type="dxa"/>
              <w:right w:w="30" w:type="dxa"/>
            </w:tcMar>
            <w:hideMark/>
          </w:tcPr>
          <w:p w14:paraId="0A11FA65" w14:textId="77777777" w:rsidR="00075296" w:rsidRPr="00075296" w:rsidRDefault="00075296">
            <w:pPr>
              <w:spacing w:after="150" w:line="285" w:lineRule="atLeast"/>
              <w:rPr>
                <w:rFonts w:ascii="Arial" w:hAnsi="Arial" w:cs="Arial"/>
              </w:rPr>
            </w:pPr>
            <w:r w:rsidRPr="00075296">
              <w:rPr>
                <w:rFonts w:ascii="Arial" w:hAnsi="Arial" w:cs="Arial"/>
              </w:rPr>
              <w:t xml:space="preserve">PCP (Schedule II) </w:t>
            </w:r>
          </w:p>
        </w:tc>
        <w:tc>
          <w:tcPr>
            <w:tcW w:w="1400" w:type="dxa"/>
            <w:tcBorders>
              <w:top w:val="nil"/>
              <w:left w:val="nil"/>
              <w:bottom w:val="single" w:sz="12" w:space="0" w:color="0000FF"/>
              <w:right w:val="single" w:sz="12" w:space="0" w:color="0000FF"/>
            </w:tcBorders>
            <w:tcMar>
              <w:top w:w="0" w:type="dxa"/>
              <w:left w:w="30" w:type="dxa"/>
              <w:bottom w:w="0" w:type="dxa"/>
              <w:right w:w="30" w:type="dxa"/>
            </w:tcMar>
            <w:hideMark/>
          </w:tcPr>
          <w:p w14:paraId="6EBFA671" w14:textId="77777777" w:rsidR="00075296" w:rsidRPr="00075296" w:rsidRDefault="00075296">
            <w:pPr>
              <w:spacing w:after="150" w:line="285" w:lineRule="atLeast"/>
              <w:rPr>
                <w:rFonts w:ascii="Arial" w:hAnsi="Arial" w:cs="Arial"/>
              </w:rPr>
            </w:pPr>
            <w:r w:rsidRPr="00075296">
              <w:rPr>
                <w:rFonts w:ascii="Arial" w:hAnsi="Arial" w:cs="Arial"/>
              </w:rPr>
              <w:t xml:space="preserve">10 - 99 </w:t>
            </w:r>
            <w:proofErr w:type="spellStart"/>
            <w:r w:rsidRPr="00075296">
              <w:rPr>
                <w:rFonts w:ascii="Arial" w:hAnsi="Arial" w:cs="Arial"/>
              </w:rPr>
              <w:t>gms</w:t>
            </w:r>
            <w:proofErr w:type="spellEnd"/>
            <w:r w:rsidRPr="00075296">
              <w:rPr>
                <w:rFonts w:ascii="Arial" w:hAnsi="Arial" w:cs="Arial"/>
              </w:rPr>
              <w:t xml:space="preserve"> pure or 100 - 999 </w:t>
            </w:r>
            <w:proofErr w:type="spellStart"/>
            <w:r w:rsidRPr="00075296">
              <w:rPr>
                <w:rFonts w:ascii="Arial" w:hAnsi="Arial" w:cs="Arial"/>
              </w:rPr>
              <w:t>gms</w:t>
            </w:r>
            <w:proofErr w:type="spellEnd"/>
            <w:r w:rsidRPr="00075296">
              <w:rPr>
                <w:rFonts w:ascii="Arial" w:hAnsi="Arial" w:cs="Arial"/>
              </w:rPr>
              <w:t xml:space="preserve"> mixture </w:t>
            </w:r>
          </w:p>
        </w:tc>
        <w:tc>
          <w:tcPr>
            <w:tcW w:w="0" w:type="auto"/>
            <w:vMerge/>
            <w:tcBorders>
              <w:top w:val="nil"/>
              <w:left w:val="nil"/>
              <w:bottom w:val="single" w:sz="12" w:space="0" w:color="0000FF"/>
              <w:right w:val="single" w:sz="12" w:space="0" w:color="0000FF"/>
            </w:tcBorders>
            <w:vAlign w:val="center"/>
            <w:hideMark/>
          </w:tcPr>
          <w:p w14:paraId="49612E44" w14:textId="77777777" w:rsidR="00075296" w:rsidRPr="00075296" w:rsidRDefault="00075296">
            <w:pPr>
              <w:rPr>
                <w:rFonts w:ascii="Arial" w:hAnsi="Arial" w:cs="Arial"/>
              </w:rPr>
            </w:pPr>
          </w:p>
        </w:tc>
        <w:tc>
          <w:tcPr>
            <w:tcW w:w="1406" w:type="dxa"/>
            <w:tcBorders>
              <w:top w:val="nil"/>
              <w:left w:val="nil"/>
              <w:bottom w:val="single" w:sz="12" w:space="0" w:color="0000FF"/>
              <w:right w:val="single" w:sz="12" w:space="0" w:color="0000FF"/>
            </w:tcBorders>
            <w:tcMar>
              <w:top w:w="0" w:type="dxa"/>
              <w:left w:w="30" w:type="dxa"/>
              <w:bottom w:w="0" w:type="dxa"/>
              <w:right w:w="30" w:type="dxa"/>
            </w:tcMar>
            <w:hideMark/>
          </w:tcPr>
          <w:p w14:paraId="3038D23A" w14:textId="77777777" w:rsidR="00075296" w:rsidRPr="00075296" w:rsidRDefault="00075296">
            <w:pPr>
              <w:spacing w:after="150" w:line="285" w:lineRule="atLeast"/>
              <w:rPr>
                <w:rFonts w:ascii="Arial" w:hAnsi="Arial" w:cs="Arial"/>
              </w:rPr>
            </w:pPr>
            <w:r w:rsidRPr="00075296">
              <w:rPr>
                <w:rFonts w:ascii="Arial" w:hAnsi="Arial" w:cs="Arial"/>
              </w:rPr>
              <w:t xml:space="preserve">100 gm or more pure or 1 kg or more mixture </w:t>
            </w:r>
          </w:p>
        </w:tc>
        <w:tc>
          <w:tcPr>
            <w:tcW w:w="0" w:type="auto"/>
            <w:vMerge/>
            <w:tcBorders>
              <w:top w:val="nil"/>
              <w:left w:val="nil"/>
              <w:bottom w:val="single" w:sz="12" w:space="0" w:color="0000FF"/>
              <w:right w:val="single" w:sz="12" w:space="0" w:color="0000FF"/>
            </w:tcBorders>
            <w:vAlign w:val="center"/>
            <w:hideMark/>
          </w:tcPr>
          <w:p w14:paraId="0EE5C7A6" w14:textId="77777777" w:rsidR="00075296" w:rsidRPr="00075296" w:rsidRDefault="00075296">
            <w:pPr>
              <w:rPr>
                <w:rFonts w:ascii="Arial" w:hAnsi="Arial" w:cs="Arial"/>
              </w:rPr>
            </w:pPr>
          </w:p>
        </w:tc>
      </w:tr>
      <w:tr w:rsidR="00075296" w:rsidRPr="00075296" w14:paraId="4F47F843" w14:textId="77777777" w:rsidTr="00075296">
        <w:trPr>
          <w:jc w:val="center"/>
        </w:trPr>
        <w:tc>
          <w:tcPr>
            <w:tcW w:w="8700" w:type="dxa"/>
            <w:gridSpan w:val="5"/>
            <w:tcBorders>
              <w:top w:val="nil"/>
              <w:left w:val="single" w:sz="12" w:space="0" w:color="0000FF"/>
              <w:bottom w:val="single" w:sz="12" w:space="0" w:color="0000FF"/>
              <w:right w:val="single" w:sz="12" w:space="0" w:color="0000FF"/>
            </w:tcBorders>
            <w:shd w:val="clear" w:color="auto" w:fill="FFFFFF"/>
            <w:tcMar>
              <w:top w:w="0" w:type="dxa"/>
              <w:left w:w="30" w:type="dxa"/>
              <w:bottom w:w="0" w:type="dxa"/>
              <w:right w:w="30" w:type="dxa"/>
            </w:tcMar>
            <w:hideMark/>
          </w:tcPr>
          <w:p w14:paraId="5EA0862B" w14:textId="77777777" w:rsidR="00075296" w:rsidRPr="00075296" w:rsidRDefault="00075296">
            <w:pPr>
              <w:spacing w:after="150" w:line="285" w:lineRule="atLeast"/>
              <w:rPr>
                <w:rFonts w:ascii="Arial" w:hAnsi="Arial" w:cs="Arial"/>
                <w:b/>
                <w:bCs/>
                <w:shd w:val="clear" w:color="auto" w:fill="FFFF00"/>
              </w:rPr>
            </w:pPr>
            <w:r w:rsidRPr="00075296">
              <w:rPr>
                <w:rFonts w:ascii="Arial" w:hAnsi="Arial" w:cs="Arial"/>
                <w:b/>
                <w:bCs/>
              </w:rPr>
              <w:t xml:space="preserve">PENALTIES </w:t>
            </w:r>
          </w:p>
        </w:tc>
      </w:tr>
      <w:tr w:rsidR="00075296" w:rsidRPr="00075296" w14:paraId="1C0060BF" w14:textId="77777777" w:rsidTr="00075296">
        <w:trPr>
          <w:jc w:val="center"/>
        </w:trPr>
        <w:tc>
          <w:tcPr>
            <w:tcW w:w="2358" w:type="dxa"/>
            <w:tcBorders>
              <w:top w:val="nil"/>
              <w:left w:val="single" w:sz="12" w:space="0" w:color="0000FF"/>
              <w:bottom w:val="single" w:sz="12" w:space="0" w:color="0000FF"/>
              <w:right w:val="single" w:sz="12" w:space="0" w:color="0000FF"/>
            </w:tcBorders>
            <w:tcMar>
              <w:top w:w="0" w:type="dxa"/>
              <w:left w:w="30" w:type="dxa"/>
              <w:bottom w:w="0" w:type="dxa"/>
              <w:right w:w="30" w:type="dxa"/>
            </w:tcMar>
            <w:hideMark/>
          </w:tcPr>
          <w:p w14:paraId="170BF79C" w14:textId="77777777" w:rsidR="00075296" w:rsidRPr="00075296" w:rsidRDefault="00075296">
            <w:pPr>
              <w:spacing w:after="150" w:line="285" w:lineRule="atLeast"/>
              <w:rPr>
                <w:rFonts w:ascii="Arial" w:hAnsi="Arial" w:cs="Arial"/>
              </w:rPr>
            </w:pPr>
            <w:r w:rsidRPr="00075296">
              <w:rPr>
                <w:rFonts w:ascii="Arial" w:hAnsi="Arial" w:cs="Arial"/>
              </w:rPr>
              <w:t xml:space="preserve">Other Schedule I &amp; II drugs (and any drug product containing </w:t>
            </w:r>
            <w:r w:rsidRPr="00075296">
              <w:rPr>
                <w:rFonts w:ascii="Arial" w:hAnsi="Arial" w:cs="Arial"/>
              </w:rPr>
              <w:lastRenderedPageBreak/>
              <w:t>Gamma Hydroxybutyric Acid)</w:t>
            </w:r>
          </w:p>
        </w:tc>
        <w:tc>
          <w:tcPr>
            <w:tcW w:w="1400" w:type="dxa"/>
            <w:tcBorders>
              <w:top w:val="nil"/>
              <w:left w:val="nil"/>
              <w:bottom w:val="single" w:sz="12" w:space="0" w:color="0000FF"/>
              <w:right w:val="single" w:sz="12" w:space="0" w:color="0000FF"/>
            </w:tcBorders>
            <w:tcMar>
              <w:top w:w="0" w:type="dxa"/>
              <w:left w:w="30" w:type="dxa"/>
              <w:bottom w:w="0" w:type="dxa"/>
              <w:right w:w="30" w:type="dxa"/>
            </w:tcMar>
            <w:hideMark/>
          </w:tcPr>
          <w:p w14:paraId="4126EA46" w14:textId="77777777" w:rsidR="00075296" w:rsidRPr="00075296" w:rsidRDefault="00075296">
            <w:pPr>
              <w:spacing w:after="150" w:line="285" w:lineRule="atLeast"/>
              <w:rPr>
                <w:rFonts w:ascii="Arial" w:hAnsi="Arial" w:cs="Arial"/>
              </w:rPr>
            </w:pPr>
            <w:r w:rsidRPr="00075296">
              <w:rPr>
                <w:rFonts w:ascii="Arial" w:hAnsi="Arial" w:cs="Arial"/>
              </w:rPr>
              <w:lastRenderedPageBreak/>
              <w:t xml:space="preserve">Any amount </w:t>
            </w:r>
          </w:p>
        </w:tc>
        <w:tc>
          <w:tcPr>
            <w:tcW w:w="4942" w:type="dxa"/>
            <w:gridSpan w:val="3"/>
            <w:vMerge w:val="restart"/>
            <w:tcBorders>
              <w:top w:val="nil"/>
              <w:left w:val="nil"/>
              <w:bottom w:val="single" w:sz="12" w:space="0" w:color="0000FF"/>
              <w:right w:val="single" w:sz="12" w:space="0" w:color="0000FF"/>
            </w:tcBorders>
            <w:tcMar>
              <w:top w:w="0" w:type="dxa"/>
              <w:left w:w="30" w:type="dxa"/>
              <w:bottom w:w="0" w:type="dxa"/>
              <w:right w:w="30" w:type="dxa"/>
            </w:tcMar>
            <w:hideMark/>
          </w:tcPr>
          <w:p w14:paraId="0CF647AA" w14:textId="77777777" w:rsidR="00075296" w:rsidRPr="00075296" w:rsidRDefault="00075296">
            <w:pPr>
              <w:spacing w:after="150" w:line="285" w:lineRule="atLeast"/>
              <w:rPr>
                <w:rFonts w:ascii="Arial" w:hAnsi="Arial" w:cs="Arial"/>
              </w:rPr>
            </w:pPr>
            <w:r w:rsidRPr="00075296">
              <w:rPr>
                <w:rFonts w:ascii="Arial" w:hAnsi="Arial" w:cs="Arial"/>
              </w:rPr>
              <w:t xml:space="preserve">First Offense: Not more </w:t>
            </w:r>
            <w:proofErr w:type="spellStart"/>
            <w:r w:rsidRPr="00075296">
              <w:rPr>
                <w:rFonts w:ascii="Arial" w:hAnsi="Arial" w:cs="Arial"/>
              </w:rPr>
              <w:t>that</w:t>
            </w:r>
            <w:proofErr w:type="spellEnd"/>
            <w:r w:rsidRPr="00075296">
              <w:rPr>
                <w:rFonts w:ascii="Arial" w:hAnsi="Arial" w:cs="Arial"/>
              </w:rPr>
              <w:t xml:space="preserve"> 20 yrs. If death or serious injury, not less than 20 </w:t>
            </w:r>
            <w:proofErr w:type="spellStart"/>
            <w:r w:rsidRPr="00075296">
              <w:rPr>
                <w:rFonts w:ascii="Arial" w:hAnsi="Arial" w:cs="Arial"/>
              </w:rPr>
              <w:t>yrs</w:t>
            </w:r>
            <w:proofErr w:type="spellEnd"/>
            <w:r w:rsidRPr="00075296">
              <w:rPr>
                <w:rFonts w:ascii="Arial" w:hAnsi="Arial" w:cs="Arial"/>
              </w:rPr>
              <w:t xml:space="preserve">, or more </w:t>
            </w:r>
            <w:r w:rsidRPr="00075296">
              <w:rPr>
                <w:rFonts w:ascii="Arial" w:hAnsi="Arial" w:cs="Arial"/>
              </w:rPr>
              <w:lastRenderedPageBreak/>
              <w:t>than Life. Fine $1 million if an individual, $5 million if not an individual.</w:t>
            </w:r>
          </w:p>
          <w:p w14:paraId="5F27FC21" w14:textId="77777777" w:rsidR="00075296" w:rsidRPr="00075296" w:rsidRDefault="00075296">
            <w:pPr>
              <w:spacing w:after="150" w:line="285" w:lineRule="atLeast"/>
              <w:rPr>
                <w:rFonts w:ascii="Arial" w:hAnsi="Arial" w:cs="Arial"/>
              </w:rPr>
            </w:pPr>
            <w:r w:rsidRPr="00075296">
              <w:rPr>
                <w:rFonts w:ascii="Arial" w:hAnsi="Arial" w:cs="Arial"/>
              </w:rPr>
              <w:t xml:space="preserve">Second Offense: Not more than 30 yrs. If death or serious injury, not less than life. Fine $2 million if an individual, $10 million if not an individual </w:t>
            </w:r>
          </w:p>
        </w:tc>
      </w:tr>
      <w:tr w:rsidR="00075296" w:rsidRPr="00075296" w14:paraId="79366BAF" w14:textId="77777777" w:rsidTr="00075296">
        <w:trPr>
          <w:jc w:val="center"/>
        </w:trPr>
        <w:tc>
          <w:tcPr>
            <w:tcW w:w="2358" w:type="dxa"/>
            <w:tcBorders>
              <w:top w:val="nil"/>
              <w:left w:val="single" w:sz="12" w:space="0" w:color="0000FF"/>
              <w:bottom w:val="single" w:sz="12" w:space="0" w:color="0000FF"/>
              <w:right w:val="single" w:sz="12" w:space="0" w:color="0000FF"/>
            </w:tcBorders>
            <w:tcMar>
              <w:top w:w="0" w:type="dxa"/>
              <w:left w:w="30" w:type="dxa"/>
              <w:bottom w:w="0" w:type="dxa"/>
              <w:right w:w="30" w:type="dxa"/>
            </w:tcMar>
            <w:hideMark/>
          </w:tcPr>
          <w:p w14:paraId="558C424C" w14:textId="77777777" w:rsidR="00075296" w:rsidRPr="00075296" w:rsidRDefault="00075296">
            <w:pPr>
              <w:spacing w:after="150" w:line="285" w:lineRule="atLeast"/>
              <w:rPr>
                <w:rFonts w:ascii="Arial" w:hAnsi="Arial" w:cs="Arial"/>
              </w:rPr>
            </w:pPr>
            <w:r w:rsidRPr="00075296">
              <w:rPr>
                <w:rFonts w:ascii="Arial" w:hAnsi="Arial" w:cs="Arial"/>
              </w:rPr>
              <w:lastRenderedPageBreak/>
              <w:t>Flunitrazepam</w:t>
            </w:r>
            <w:r w:rsidRPr="00075296">
              <w:rPr>
                <w:rFonts w:ascii="Arial" w:hAnsi="Arial" w:cs="Arial"/>
              </w:rPr>
              <w:br/>
              <w:t xml:space="preserve">(Schedule IV) </w:t>
            </w:r>
          </w:p>
        </w:tc>
        <w:tc>
          <w:tcPr>
            <w:tcW w:w="1400" w:type="dxa"/>
            <w:tcBorders>
              <w:top w:val="nil"/>
              <w:left w:val="nil"/>
              <w:bottom w:val="single" w:sz="12" w:space="0" w:color="0000FF"/>
              <w:right w:val="single" w:sz="12" w:space="0" w:color="0000FF"/>
            </w:tcBorders>
            <w:tcMar>
              <w:top w:w="0" w:type="dxa"/>
              <w:left w:w="30" w:type="dxa"/>
              <w:bottom w:w="0" w:type="dxa"/>
              <w:right w:w="30" w:type="dxa"/>
            </w:tcMar>
            <w:hideMark/>
          </w:tcPr>
          <w:p w14:paraId="00D83F52" w14:textId="77777777" w:rsidR="00075296" w:rsidRPr="00075296" w:rsidRDefault="00075296">
            <w:pPr>
              <w:spacing w:after="150" w:line="285" w:lineRule="atLeast"/>
              <w:rPr>
                <w:rFonts w:ascii="Arial" w:hAnsi="Arial" w:cs="Arial"/>
              </w:rPr>
            </w:pPr>
            <w:r w:rsidRPr="00075296">
              <w:rPr>
                <w:rFonts w:ascii="Arial" w:hAnsi="Arial" w:cs="Arial"/>
              </w:rPr>
              <w:t xml:space="preserve">1 gm or more </w:t>
            </w:r>
          </w:p>
        </w:tc>
        <w:tc>
          <w:tcPr>
            <w:tcW w:w="0" w:type="auto"/>
            <w:gridSpan w:val="3"/>
            <w:vMerge/>
            <w:tcBorders>
              <w:top w:val="nil"/>
              <w:left w:val="nil"/>
              <w:bottom w:val="single" w:sz="12" w:space="0" w:color="0000FF"/>
              <w:right w:val="single" w:sz="12" w:space="0" w:color="0000FF"/>
            </w:tcBorders>
            <w:vAlign w:val="center"/>
            <w:hideMark/>
          </w:tcPr>
          <w:p w14:paraId="0301DAE0" w14:textId="77777777" w:rsidR="00075296" w:rsidRPr="00075296" w:rsidRDefault="00075296">
            <w:pPr>
              <w:rPr>
                <w:rFonts w:ascii="Arial" w:hAnsi="Arial" w:cs="Arial"/>
              </w:rPr>
            </w:pPr>
          </w:p>
        </w:tc>
      </w:tr>
      <w:tr w:rsidR="00075296" w:rsidRPr="00075296" w14:paraId="594A40C2" w14:textId="77777777" w:rsidTr="00075296">
        <w:trPr>
          <w:jc w:val="center"/>
        </w:trPr>
        <w:tc>
          <w:tcPr>
            <w:tcW w:w="2358" w:type="dxa"/>
            <w:tcBorders>
              <w:top w:val="nil"/>
              <w:left w:val="single" w:sz="12" w:space="0" w:color="0000FF"/>
              <w:bottom w:val="single" w:sz="12" w:space="0" w:color="0000FF"/>
              <w:right w:val="single" w:sz="12" w:space="0" w:color="0000FF"/>
            </w:tcBorders>
            <w:tcMar>
              <w:top w:w="0" w:type="dxa"/>
              <w:left w:w="30" w:type="dxa"/>
              <w:bottom w:w="0" w:type="dxa"/>
              <w:right w:w="30" w:type="dxa"/>
            </w:tcMar>
            <w:hideMark/>
          </w:tcPr>
          <w:p w14:paraId="37CE19A3" w14:textId="77777777" w:rsidR="00075296" w:rsidRPr="00075296" w:rsidRDefault="00075296">
            <w:pPr>
              <w:spacing w:after="150" w:line="285" w:lineRule="atLeast"/>
              <w:rPr>
                <w:rFonts w:ascii="Arial" w:hAnsi="Arial" w:cs="Arial"/>
              </w:rPr>
            </w:pPr>
            <w:r w:rsidRPr="00075296">
              <w:rPr>
                <w:rFonts w:ascii="Arial" w:hAnsi="Arial" w:cs="Arial"/>
              </w:rPr>
              <w:t>Other Schedule III drugs</w:t>
            </w:r>
          </w:p>
        </w:tc>
        <w:tc>
          <w:tcPr>
            <w:tcW w:w="1400" w:type="dxa"/>
            <w:tcBorders>
              <w:top w:val="nil"/>
              <w:left w:val="nil"/>
              <w:bottom w:val="single" w:sz="12" w:space="0" w:color="0000FF"/>
              <w:right w:val="single" w:sz="12" w:space="0" w:color="0000FF"/>
            </w:tcBorders>
            <w:tcMar>
              <w:top w:w="0" w:type="dxa"/>
              <w:left w:w="30" w:type="dxa"/>
              <w:bottom w:w="0" w:type="dxa"/>
              <w:right w:w="30" w:type="dxa"/>
            </w:tcMar>
            <w:hideMark/>
          </w:tcPr>
          <w:p w14:paraId="78BA5382" w14:textId="77777777" w:rsidR="00075296" w:rsidRPr="00075296" w:rsidRDefault="00075296">
            <w:pPr>
              <w:spacing w:after="150" w:line="285" w:lineRule="atLeast"/>
              <w:rPr>
                <w:rFonts w:ascii="Arial" w:hAnsi="Arial" w:cs="Arial"/>
              </w:rPr>
            </w:pPr>
            <w:r w:rsidRPr="00075296">
              <w:rPr>
                <w:rFonts w:ascii="Arial" w:hAnsi="Arial" w:cs="Arial"/>
              </w:rPr>
              <w:t xml:space="preserve">Any amount </w:t>
            </w:r>
          </w:p>
        </w:tc>
        <w:tc>
          <w:tcPr>
            <w:tcW w:w="4942" w:type="dxa"/>
            <w:gridSpan w:val="3"/>
            <w:vMerge w:val="restart"/>
            <w:tcBorders>
              <w:top w:val="nil"/>
              <w:left w:val="nil"/>
              <w:bottom w:val="single" w:sz="12" w:space="0" w:color="0000FF"/>
              <w:right w:val="single" w:sz="12" w:space="0" w:color="0000FF"/>
            </w:tcBorders>
            <w:tcMar>
              <w:top w:w="0" w:type="dxa"/>
              <w:left w:w="30" w:type="dxa"/>
              <w:bottom w:w="0" w:type="dxa"/>
              <w:right w:w="30" w:type="dxa"/>
            </w:tcMar>
            <w:hideMark/>
          </w:tcPr>
          <w:p w14:paraId="1F22A581" w14:textId="77777777" w:rsidR="00075296" w:rsidRPr="00075296" w:rsidRDefault="00075296">
            <w:pPr>
              <w:spacing w:after="150" w:line="285" w:lineRule="atLeast"/>
              <w:rPr>
                <w:rFonts w:ascii="Arial" w:hAnsi="Arial" w:cs="Arial"/>
              </w:rPr>
            </w:pPr>
            <w:r w:rsidRPr="00075296">
              <w:rPr>
                <w:rFonts w:ascii="Arial" w:hAnsi="Arial" w:cs="Arial"/>
              </w:rPr>
              <w:t xml:space="preserve">First Offense: Not more than 5 years. Fine not more than $250,000 if an individual, $1 million if not an individual. </w:t>
            </w:r>
          </w:p>
          <w:p w14:paraId="0F340255" w14:textId="77777777" w:rsidR="00075296" w:rsidRPr="00075296" w:rsidRDefault="00075296">
            <w:pPr>
              <w:spacing w:after="150" w:line="285" w:lineRule="atLeast"/>
              <w:rPr>
                <w:rFonts w:ascii="Arial" w:hAnsi="Arial" w:cs="Arial"/>
              </w:rPr>
            </w:pPr>
            <w:r w:rsidRPr="00075296">
              <w:rPr>
                <w:rFonts w:ascii="Arial" w:hAnsi="Arial" w:cs="Arial"/>
              </w:rPr>
              <w:t xml:space="preserve">Second Offense: Not more 10 yrs. Fine not more than $500,000 if an individual, $2 million if not an individual </w:t>
            </w:r>
          </w:p>
        </w:tc>
      </w:tr>
      <w:tr w:rsidR="00075296" w:rsidRPr="00075296" w14:paraId="1BA70B53" w14:textId="77777777" w:rsidTr="00075296">
        <w:trPr>
          <w:jc w:val="center"/>
        </w:trPr>
        <w:tc>
          <w:tcPr>
            <w:tcW w:w="2358" w:type="dxa"/>
            <w:tcBorders>
              <w:top w:val="nil"/>
              <w:left w:val="single" w:sz="12" w:space="0" w:color="0000FF"/>
              <w:bottom w:val="single" w:sz="12" w:space="0" w:color="0000FF"/>
              <w:right w:val="single" w:sz="12" w:space="0" w:color="0000FF"/>
            </w:tcBorders>
            <w:tcMar>
              <w:top w:w="0" w:type="dxa"/>
              <w:left w:w="30" w:type="dxa"/>
              <w:bottom w:w="0" w:type="dxa"/>
              <w:right w:w="30" w:type="dxa"/>
            </w:tcMar>
            <w:hideMark/>
          </w:tcPr>
          <w:p w14:paraId="10A33011" w14:textId="77777777" w:rsidR="00075296" w:rsidRPr="00075296" w:rsidRDefault="00075296">
            <w:pPr>
              <w:spacing w:after="150" w:line="285" w:lineRule="atLeast"/>
              <w:rPr>
                <w:rFonts w:ascii="Arial" w:hAnsi="Arial" w:cs="Arial"/>
              </w:rPr>
            </w:pPr>
            <w:r w:rsidRPr="00075296">
              <w:rPr>
                <w:rFonts w:ascii="Arial" w:hAnsi="Arial" w:cs="Arial"/>
              </w:rPr>
              <w:t xml:space="preserve">Flunitrazepam (Schedule IV) </w:t>
            </w:r>
          </w:p>
        </w:tc>
        <w:tc>
          <w:tcPr>
            <w:tcW w:w="1400" w:type="dxa"/>
            <w:tcBorders>
              <w:top w:val="nil"/>
              <w:left w:val="nil"/>
              <w:bottom w:val="single" w:sz="12" w:space="0" w:color="0000FF"/>
              <w:right w:val="single" w:sz="12" w:space="0" w:color="0000FF"/>
            </w:tcBorders>
            <w:tcMar>
              <w:top w:w="0" w:type="dxa"/>
              <w:left w:w="30" w:type="dxa"/>
              <w:bottom w:w="0" w:type="dxa"/>
              <w:right w:w="30" w:type="dxa"/>
            </w:tcMar>
            <w:hideMark/>
          </w:tcPr>
          <w:p w14:paraId="5F77AAA1" w14:textId="77777777" w:rsidR="00075296" w:rsidRPr="00075296" w:rsidRDefault="00075296">
            <w:pPr>
              <w:spacing w:after="150" w:line="285" w:lineRule="atLeast"/>
              <w:rPr>
                <w:rFonts w:ascii="Arial" w:hAnsi="Arial" w:cs="Arial"/>
              </w:rPr>
            </w:pPr>
            <w:r w:rsidRPr="00075296">
              <w:rPr>
                <w:rFonts w:ascii="Arial" w:hAnsi="Arial" w:cs="Arial"/>
              </w:rPr>
              <w:t>30 to 999 mgs</w:t>
            </w:r>
          </w:p>
        </w:tc>
        <w:tc>
          <w:tcPr>
            <w:tcW w:w="0" w:type="auto"/>
            <w:gridSpan w:val="3"/>
            <w:vMerge/>
            <w:tcBorders>
              <w:top w:val="nil"/>
              <w:left w:val="nil"/>
              <w:bottom w:val="single" w:sz="12" w:space="0" w:color="0000FF"/>
              <w:right w:val="single" w:sz="12" w:space="0" w:color="0000FF"/>
            </w:tcBorders>
            <w:vAlign w:val="center"/>
            <w:hideMark/>
          </w:tcPr>
          <w:p w14:paraId="0CD9D402" w14:textId="77777777" w:rsidR="00075296" w:rsidRPr="00075296" w:rsidRDefault="00075296">
            <w:pPr>
              <w:rPr>
                <w:rFonts w:ascii="Arial" w:hAnsi="Arial" w:cs="Arial"/>
              </w:rPr>
            </w:pPr>
          </w:p>
        </w:tc>
      </w:tr>
      <w:tr w:rsidR="00075296" w:rsidRPr="00075296" w14:paraId="0B5EBD35" w14:textId="77777777" w:rsidTr="00075296">
        <w:trPr>
          <w:jc w:val="center"/>
        </w:trPr>
        <w:tc>
          <w:tcPr>
            <w:tcW w:w="2358" w:type="dxa"/>
            <w:tcBorders>
              <w:top w:val="nil"/>
              <w:left w:val="single" w:sz="12" w:space="0" w:color="0000FF"/>
              <w:bottom w:val="single" w:sz="12" w:space="0" w:color="0000FF"/>
              <w:right w:val="single" w:sz="12" w:space="0" w:color="0000FF"/>
            </w:tcBorders>
            <w:tcMar>
              <w:top w:w="0" w:type="dxa"/>
              <w:left w:w="30" w:type="dxa"/>
              <w:bottom w:w="0" w:type="dxa"/>
              <w:right w:w="30" w:type="dxa"/>
            </w:tcMar>
            <w:hideMark/>
          </w:tcPr>
          <w:p w14:paraId="726A2446" w14:textId="77777777" w:rsidR="00075296" w:rsidRPr="00075296" w:rsidRDefault="00075296">
            <w:pPr>
              <w:spacing w:after="150" w:line="285" w:lineRule="atLeast"/>
              <w:rPr>
                <w:rFonts w:ascii="Arial" w:hAnsi="Arial" w:cs="Arial"/>
              </w:rPr>
            </w:pPr>
            <w:r w:rsidRPr="00075296">
              <w:rPr>
                <w:rFonts w:ascii="Arial" w:hAnsi="Arial" w:cs="Arial"/>
              </w:rPr>
              <w:t xml:space="preserve">All other Schedule IV drugs </w:t>
            </w:r>
          </w:p>
        </w:tc>
        <w:tc>
          <w:tcPr>
            <w:tcW w:w="1400" w:type="dxa"/>
            <w:tcBorders>
              <w:top w:val="nil"/>
              <w:left w:val="nil"/>
              <w:bottom w:val="single" w:sz="12" w:space="0" w:color="0000FF"/>
              <w:right w:val="single" w:sz="12" w:space="0" w:color="0000FF"/>
            </w:tcBorders>
            <w:tcMar>
              <w:top w:w="0" w:type="dxa"/>
              <w:left w:w="30" w:type="dxa"/>
              <w:bottom w:w="0" w:type="dxa"/>
              <w:right w:w="30" w:type="dxa"/>
            </w:tcMar>
            <w:hideMark/>
          </w:tcPr>
          <w:p w14:paraId="6CFE8950" w14:textId="77777777" w:rsidR="00075296" w:rsidRPr="00075296" w:rsidRDefault="00075296">
            <w:pPr>
              <w:spacing w:after="150" w:line="285" w:lineRule="atLeast"/>
              <w:rPr>
                <w:rFonts w:ascii="Arial" w:hAnsi="Arial" w:cs="Arial"/>
              </w:rPr>
            </w:pPr>
            <w:r w:rsidRPr="00075296">
              <w:rPr>
                <w:rFonts w:ascii="Arial" w:hAnsi="Arial" w:cs="Arial"/>
              </w:rPr>
              <w:t xml:space="preserve">Any amount </w:t>
            </w:r>
          </w:p>
        </w:tc>
        <w:tc>
          <w:tcPr>
            <w:tcW w:w="4942" w:type="dxa"/>
            <w:gridSpan w:val="3"/>
            <w:vMerge w:val="restart"/>
            <w:tcBorders>
              <w:top w:val="nil"/>
              <w:left w:val="nil"/>
              <w:bottom w:val="single" w:sz="12" w:space="0" w:color="0000FF"/>
              <w:right w:val="single" w:sz="12" w:space="0" w:color="0000FF"/>
            </w:tcBorders>
            <w:tcMar>
              <w:top w:w="0" w:type="dxa"/>
              <w:left w:w="30" w:type="dxa"/>
              <w:bottom w:w="0" w:type="dxa"/>
              <w:right w:w="30" w:type="dxa"/>
            </w:tcMar>
            <w:hideMark/>
          </w:tcPr>
          <w:p w14:paraId="7BE6B3E0" w14:textId="77777777" w:rsidR="00075296" w:rsidRPr="00075296" w:rsidRDefault="00075296">
            <w:pPr>
              <w:spacing w:after="150" w:line="285" w:lineRule="atLeast"/>
              <w:rPr>
                <w:rFonts w:ascii="Arial" w:hAnsi="Arial" w:cs="Arial"/>
              </w:rPr>
            </w:pPr>
            <w:r w:rsidRPr="00075296">
              <w:rPr>
                <w:rFonts w:ascii="Arial" w:hAnsi="Arial" w:cs="Arial"/>
              </w:rPr>
              <w:t xml:space="preserve">First Offense: Not more than 3 years. Fine not more than $250,000 if an individual, $1 million if not an individual. </w:t>
            </w:r>
          </w:p>
          <w:p w14:paraId="5C8F9547" w14:textId="77777777" w:rsidR="00075296" w:rsidRPr="00075296" w:rsidRDefault="00075296">
            <w:pPr>
              <w:spacing w:after="150" w:line="285" w:lineRule="atLeast"/>
              <w:rPr>
                <w:rFonts w:ascii="Arial" w:hAnsi="Arial" w:cs="Arial"/>
              </w:rPr>
            </w:pPr>
            <w:r w:rsidRPr="00075296">
              <w:rPr>
                <w:rFonts w:ascii="Arial" w:hAnsi="Arial" w:cs="Arial"/>
              </w:rPr>
              <w:t xml:space="preserve">Second Offense: Not more than 6 yrs. Fine not more than $500,000 if an individual, $2 million if not an individual. </w:t>
            </w:r>
          </w:p>
        </w:tc>
      </w:tr>
      <w:tr w:rsidR="00075296" w:rsidRPr="00075296" w14:paraId="5FFE3D81" w14:textId="77777777" w:rsidTr="00075296">
        <w:trPr>
          <w:jc w:val="center"/>
        </w:trPr>
        <w:tc>
          <w:tcPr>
            <w:tcW w:w="2358" w:type="dxa"/>
            <w:tcBorders>
              <w:top w:val="nil"/>
              <w:left w:val="single" w:sz="12" w:space="0" w:color="0000FF"/>
              <w:bottom w:val="single" w:sz="12" w:space="0" w:color="0000FF"/>
              <w:right w:val="single" w:sz="12" w:space="0" w:color="0000FF"/>
            </w:tcBorders>
            <w:tcMar>
              <w:top w:w="0" w:type="dxa"/>
              <w:left w:w="30" w:type="dxa"/>
              <w:bottom w:w="0" w:type="dxa"/>
              <w:right w:w="30" w:type="dxa"/>
            </w:tcMar>
            <w:hideMark/>
          </w:tcPr>
          <w:p w14:paraId="4C8D49C2" w14:textId="77777777" w:rsidR="00075296" w:rsidRPr="00075296" w:rsidRDefault="00075296">
            <w:pPr>
              <w:spacing w:after="150" w:line="285" w:lineRule="atLeast"/>
              <w:rPr>
                <w:rFonts w:ascii="Arial" w:hAnsi="Arial" w:cs="Arial"/>
              </w:rPr>
            </w:pPr>
            <w:r w:rsidRPr="00075296">
              <w:rPr>
                <w:rFonts w:ascii="Arial" w:hAnsi="Arial" w:cs="Arial"/>
              </w:rPr>
              <w:t xml:space="preserve">Flunitrazepam (Schedule IV) </w:t>
            </w:r>
          </w:p>
        </w:tc>
        <w:tc>
          <w:tcPr>
            <w:tcW w:w="1400" w:type="dxa"/>
            <w:tcBorders>
              <w:top w:val="nil"/>
              <w:left w:val="nil"/>
              <w:bottom w:val="single" w:sz="12" w:space="0" w:color="0000FF"/>
              <w:right w:val="single" w:sz="12" w:space="0" w:color="0000FF"/>
            </w:tcBorders>
            <w:tcMar>
              <w:top w:w="0" w:type="dxa"/>
              <w:left w:w="30" w:type="dxa"/>
              <w:bottom w:w="0" w:type="dxa"/>
              <w:right w:w="30" w:type="dxa"/>
            </w:tcMar>
            <w:hideMark/>
          </w:tcPr>
          <w:p w14:paraId="63537775" w14:textId="77777777" w:rsidR="00075296" w:rsidRPr="00075296" w:rsidRDefault="00075296">
            <w:pPr>
              <w:spacing w:after="150" w:line="285" w:lineRule="atLeast"/>
              <w:rPr>
                <w:rFonts w:ascii="Arial" w:hAnsi="Arial" w:cs="Arial"/>
              </w:rPr>
            </w:pPr>
            <w:r w:rsidRPr="00075296">
              <w:rPr>
                <w:rFonts w:ascii="Arial" w:hAnsi="Arial" w:cs="Arial"/>
              </w:rPr>
              <w:t xml:space="preserve">Less than 30 mgs </w:t>
            </w:r>
          </w:p>
        </w:tc>
        <w:tc>
          <w:tcPr>
            <w:tcW w:w="0" w:type="auto"/>
            <w:gridSpan w:val="3"/>
            <w:vMerge/>
            <w:tcBorders>
              <w:top w:val="nil"/>
              <w:left w:val="nil"/>
              <w:bottom w:val="single" w:sz="12" w:space="0" w:color="0000FF"/>
              <w:right w:val="single" w:sz="12" w:space="0" w:color="0000FF"/>
            </w:tcBorders>
            <w:vAlign w:val="center"/>
            <w:hideMark/>
          </w:tcPr>
          <w:p w14:paraId="141AB77F" w14:textId="77777777" w:rsidR="00075296" w:rsidRPr="00075296" w:rsidRDefault="00075296">
            <w:pPr>
              <w:rPr>
                <w:rFonts w:ascii="Arial" w:hAnsi="Arial" w:cs="Arial"/>
              </w:rPr>
            </w:pPr>
          </w:p>
        </w:tc>
      </w:tr>
      <w:tr w:rsidR="00075296" w:rsidRPr="00075296" w14:paraId="6C45DBBE" w14:textId="77777777" w:rsidTr="00075296">
        <w:trPr>
          <w:jc w:val="center"/>
        </w:trPr>
        <w:tc>
          <w:tcPr>
            <w:tcW w:w="2358" w:type="dxa"/>
            <w:tcBorders>
              <w:top w:val="nil"/>
              <w:left w:val="single" w:sz="12" w:space="0" w:color="0000FF"/>
              <w:bottom w:val="single" w:sz="12" w:space="0" w:color="0000FF"/>
              <w:right w:val="single" w:sz="12" w:space="0" w:color="0000FF"/>
            </w:tcBorders>
            <w:tcMar>
              <w:top w:w="0" w:type="dxa"/>
              <w:left w:w="30" w:type="dxa"/>
              <w:bottom w:w="0" w:type="dxa"/>
              <w:right w:w="30" w:type="dxa"/>
            </w:tcMar>
            <w:hideMark/>
          </w:tcPr>
          <w:p w14:paraId="378A6ACF" w14:textId="77777777" w:rsidR="00075296" w:rsidRPr="00075296" w:rsidRDefault="00075296">
            <w:pPr>
              <w:spacing w:after="150" w:line="285" w:lineRule="atLeast"/>
              <w:rPr>
                <w:rFonts w:ascii="Arial" w:hAnsi="Arial" w:cs="Arial"/>
              </w:rPr>
            </w:pPr>
            <w:r w:rsidRPr="00075296">
              <w:rPr>
                <w:rFonts w:ascii="Arial" w:hAnsi="Arial" w:cs="Arial"/>
              </w:rPr>
              <w:t xml:space="preserve">All Schedule V drugs </w:t>
            </w:r>
          </w:p>
        </w:tc>
        <w:tc>
          <w:tcPr>
            <w:tcW w:w="1400" w:type="dxa"/>
            <w:tcBorders>
              <w:top w:val="nil"/>
              <w:left w:val="nil"/>
              <w:bottom w:val="single" w:sz="12" w:space="0" w:color="0000FF"/>
              <w:right w:val="single" w:sz="12" w:space="0" w:color="0000FF"/>
            </w:tcBorders>
            <w:tcMar>
              <w:top w:w="0" w:type="dxa"/>
              <w:left w:w="30" w:type="dxa"/>
              <w:bottom w:w="0" w:type="dxa"/>
              <w:right w:w="30" w:type="dxa"/>
            </w:tcMar>
            <w:hideMark/>
          </w:tcPr>
          <w:p w14:paraId="54306515" w14:textId="77777777" w:rsidR="00075296" w:rsidRPr="00075296" w:rsidRDefault="00075296">
            <w:pPr>
              <w:spacing w:after="150" w:line="285" w:lineRule="atLeast"/>
              <w:rPr>
                <w:rFonts w:ascii="Arial" w:hAnsi="Arial" w:cs="Arial"/>
              </w:rPr>
            </w:pPr>
            <w:r w:rsidRPr="00075296">
              <w:rPr>
                <w:rFonts w:ascii="Arial" w:hAnsi="Arial" w:cs="Arial"/>
              </w:rPr>
              <w:t xml:space="preserve">Any amount </w:t>
            </w:r>
          </w:p>
        </w:tc>
        <w:tc>
          <w:tcPr>
            <w:tcW w:w="4942" w:type="dxa"/>
            <w:gridSpan w:val="3"/>
            <w:tcBorders>
              <w:top w:val="nil"/>
              <w:left w:val="nil"/>
              <w:bottom w:val="single" w:sz="12" w:space="0" w:color="0000FF"/>
              <w:right w:val="single" w:sz="12" w:space="0" w:color="0000FF"/>
            </w:tcBorders>
            <w:tcMar>
              <w:top w:w="0" w:type="dxa"/>
              <w:left w:w="30" w:type="dxa"/>
              <w:bottom w:w="0" w:type="dxa"/>
              <w:right w:w="30" w:type="dxa"/>
            </w:tcMar>
            <w:hideMark/>
          </w:tcPr>
          <w:p w14:paraId="5FA2C752" w14:textId="77777777" w:rsidR="00075296" w:rsidRPr="00075296" w:rsidRDefault="00075296">
            <w:pPr>
              <w:spacing w:after="150" w:line="285" w:lineRule="atLeast"/>
              <w:rPr>
                <w:rFonts w:ascii="Arial" w:hAnsi="Arial" w:cs="Arial"/>
              </w:rPr>
            </w:pPr>
            <w:r w:rsidRPr="00075296">
              <w:rPr>
                <w:rFonts w:ascii="Arial" w:hAnsi="Arial" w:cs="Arial"/>
              </w:rPr>
              <w:t>First Offense: Not more than 1 yr. Fine not more than $100,000 if an individual, $250,000 if not an individual.</w:t>
            </w:r>
          </w:p>
          <w:p w14:paraId="02C575D3" w14:textId="77777777" w:rsidR="00075296" w:rsidRPr="00075296" w:rsidRDefault="00075296">
            <w:pPr>
              <w:spacing w:after="150" w:line="285" w:lineRule="atLeast"/>
              <w:rPr>
                <w:rFonts w:ascii="Arial" w:hAnsi="Arial" w:cs="Arial"/>
              </w:rPr>
            </w:pPr>
            <w:r w:rsidRPr="00075296">
              <w:rPr>
                <w:rFonts w:ascii="Arial" w:hAnsi="Arial" w:cs="Arial"/>
              </w:rPr>
              <w:t xml:space="preserve">Second Offense: Not more than 2 yrs. Fine not more than $200,000 if an individual, $500,000 if not an individual. </w:t>
            </w:r>
          </w:p>
        </w:tc>
      </w:tr>
    </w:tbl>
    <w:p w14:paraId="4F0BFBCA" w14:textId="77777777" w:rsidR="00075296" w:rsidRPr="00075296" w:rsidRDefault="00075296" w:rsidP="00075296">
      <w:pPr>
        <w:spacing w:after="150" w:line="285" w:lineRule="atLeast"/>
        <w:rPr>
          <w:rFonts w:ascii="Arial" w:hAnsi="Arial" w:cs="Arial"/>
        </w:rPr>
      </w:pPr>
    </w:p>
    <w:p w14:paraId="19C75737" w14:textId="77777777" w:rsidR="00040186" w:rsidRDefault="00040186" w:rsidP="00075296">
      <w:pPr>
        <w:spacing w:after="150" w:line="285" w:lineRule="atLeast"/>
        <w:rPr>
          <w:rFonts w:ascii="Arial" w:hAnsi="Arial" w:cs="Arial"/>
          <w:b/>
          <w:bCs/>
        </w:rPr>
      </w:pPr>
    </w:p>
    <w:p w14:paraId="0F69A2DD" w14:textId="26814F92" w:rsidR="00040186" w:rsidRDefault="00040186" w:rsidP="00075296">
      <w:pPr>
        <w:spacing w:after="150" w:line="285" w:lineRule="atLeast"/>
        <w:rPr>
          <w:rFonts w:ascii="Arial" w:hAnsi="Arial" w:cs="Arial"/>
          <w:b/>
          <w:bCs/>
        </w:rPr>
      </w:pPr>
    </w:p>
    <w:p w14:paraId="49D64950" w14:textId="75D523E2" w:rsidR="007A3EC4" w:rsidRDefault="007A3EC4" w:rsidP="00075296">
      <w:pPr>
        <w:spacing w:after="150" w:line="285" w:lineRule="atLeast"/>
        <w:rPr>
          <w:rFonts w:ascii="Arial" w:hAnsi="Arial" w:cs="Arial"/>
          <w:b/>
          <w:bCs/>
        </w:rPr>
      </w:pPr>
    </w:p>
    <w:p w14:paraId="0CCE7D08" w14:textId="34D8A392" w:rsidR="007A3EC4" w:rsidRDefault="007A3EC4" w:rsidP="00075296">
      <w:pPr>
        <w:spacing w:after="150" w:line="285" w:lineRule="atLeast"/>
        <w:rPr>
          <w:rFonts w:ascii="Arial" w:hAnsi="Arial" w:cs="Arial"/>
          <w:b/>
          <w:bCs/>
        </w:rPr>
      </w:pPr>
    </w:p>
    <w:p w14:paraId="7607E85C" w14:textId="77777777" w:rsidR="007A3EC4" w:rsidRDefault="007A3EC4" w:rsidP="00075296">
      <w:pPr>
        <w:spacing w:after="150" w:line="285" w:lineRule="atLeast"/>
        <w:rPr>
          <w:rFonts w:ascii="Arial" w:hAnsi="Arial" w:cs="Arial"/>
          <w:b/>
          <w:bCs/>
        </w:rPr>
      </w:pPr>
    </w:p>
    <w:p w14:paraId="6299AF81" w14:textId="77777777" w:rsidR="00040186" w:rsidRDefault="00040186" w:rsidP="00075296">
      <w:pPr>
        <w:spacing w:after="150" w:line="285" w:lineRule="atLeast"/>
        <w:rPr>
          <w:rFonts w:ascii="Arial" w:hAnsi="Arial" w:cs="Arial"/>
          <w:b/>
          <w:bCs/>
        </w:rPr>
      </w:pPr>
    </w:p>
    <w:p w14:paraId="0C89A3FB" w14:textId="77777777" w:rsidR="00A5265C" w:rsidRDefault="00A5265C" w:rsidP="00075296">
      <w:pPr>
        <w:spacing w:after="150" w:line="285" w:lineRule="atLeast"/>
        <w:rPr>
          <w:rFonts w:ascii="Arial" w:hAnsi="Arial" w:cs="Arial"/>
          <w:b/>
          <w:bCs/>
        </w:rPr>
      </w:pPr>
    </w:p>
    <w:p w14:paraId="075BE892" w14:textId="77777777" w:rsidR="00A5265C" w:rsidRDefault="00A5265C" w:rsidP="00075296">
      <w:pPr>
        <w:spacing w:after="150" w:line="285" w:lineRule="atLeast"/>
        <w:rPr>
          <w:rFonts w:ascii="Arial" w:hAnsi="Arial" w:cs="Arial"/>
          <w:b/>
          <w:bCs/>
        </w:rPr>
      </w:pPr>
    </w:p>
    <w:p w14:paraId="50B515A9" w14:textId="77777777" w:rsidR="00A5265C" w:rsidRDefault="00A5265C" w:rsidP="00075296">
      <w:pPr>
        <w:spacing w:after="150" w:line="285" w:lineRule="atLeast"/>
        <w:rPr>
          <w:rFonts w:ascii="Arial" w:hAnsi="Arial" w:cs="Arial"/>
          <w:b/>
          <w:bCs/>
        </w:rPr>
      </w:pPr>
    </w:p>
    <w:p w14:paraId="5E1C90C6" w14:textId="77777777" w:rsidR="00A5265C" w:rsidRDefault="00A5265C" w:rsidP="00075296">
      <w:pPr>
        <w:spacing w:after="150" w:line="285" w:lineRule="atLeast"/>
        <w:rPr>
          <w:rFonts w:ascii="Arial" w:hAnsi="Arial" w:cs="Arial"/>
          <w:b/>
          <w:bCs/>
        </w:rPr>
      </w:pPr>
    </w:p>
    <w:p w14:paraId="3CEEE30C" w14:textId="77777777" w:rsidR="00075296" w:rsidRPr="00075296" w:rsidRDefault="00075296" w:rsidP="00075296">
      <w:pPr>
        <w:spacing w:after="150" w:line="285" w:lineRule="atLeast"/>
        <w:rPr>
          <w:rFonts w:ascii="Arial" w:hAnsi="Arial" w:cs="Arial"/>
          <w:b/>
          <w:bCs/>
        </w:rPr>
      </w:pPr>
      <w:r w:rsidRPr="00075296">
        <w:rPr>
          <w:rFonts w:ascii="Arial" w:hAnsi="Arial" w:cs="Arial"/>
          <w:b/>
          <w:bCs/>
        </w:rPr>
        <w:lastRenderedPageBreak/>
        <w:t>Federal Trafficking Penalties - Marijuana</w:t>
      </w:r>
    </w:p>
    <w:tbl>
      <w:tblPr>
        <w:tblW w:w="0" w:type="auto"/>
        <w:jc w:val="center"/>
        <w:tblCellMar>
          <w:left w:w="0" w:type="dxa"/>
          <w:right w:w="0" w:type="dxa"/>
        </w:tblCellMar>
        <w:tblLook w:val="04A0" w:firstRow="1" w:lastRow="0" w:firstColumn="1" w:lastColumn="0" w:noHBand="0" w:noVBand="1"/>
      </w:tblPr>
      <w:tblGrid>
        <w:gridCol w:w="1114"/>
        <w:gridCol w:w="1926"/>
        <w:gridCol w:w="3210"/>
        <w:gridCol w:w="2935"/>
      </w:tblGrid>
      <w:tr w:rsidR="00075296" w:rsidRPr="00075296" w14:paraId="52BFC603" w14:textId="77777777" w:rsidTr="00075296">
        <w:trPr>
          <w:jc w:val="center"/>
        </w:trPr>
        <w:tc>
          <w:tcPr>
            <w:tcW w:w="1100" w:type="dxa"/>
            <w:tcBorders>
              <w:top w:val="single" w:sz="12" w:space="0" w:color="0000FF"/>
              <w:left w:val="single" w:sz="12" w:space="0" w:color="0000FF"/>
              <w:bottom w:val="single" w:sz="12" w:space="0" w:color="0000FF"/>
              <w:right w:val="single" w:sz="12" w:space="0" w:color="0000FF"/>
            </w:tcBorders>
            <w:tcMar>
              <w:top w:w="0" w:type="dxa"/>
              <w:left w:w="30" w:type="dxa"/>
              <w:bottom w:w="0" w:type="dxa"/>
              <w:right w:w="30" w:type="dxa"/>
            </w:tcMar>
            <w:vAlign w:val="center"/>
            <w:hideMark/>
          </w:tcPr>
          <w:p w14:paraId="33890E83" w14:textId="77777777" w:rsidR="00075296" w:rsidRPr="00075296" w:rsidRDefault="00075296">
            <w:pPr>
              <w:spacing w:after="150" w:line="285" w:lineRule="atLeast"/>
              <w:rPr>
                <w:rFonts w:ascii="Arial" w:hAnsi="Arial" w:cs="Arial"/>
              </w:rPr>
            </w:pPr>
            <w:r w:rsidRPr="00075296">
              <w:rPr>
                <w:rFonts w:ascii="Arial" w:hAnsi="Arial" w:cs="Arial"/>
              </w:rPr>
              <w:t>DRUG</w:t>
            </w:r>
          </w:p>
        </w:tc>
        <w:tc>
          <w:tcPr>
            <w:tcW w:w="1926" w:type="dxa"/>
            <w:tcBorders>
              <w:top w:val="single" w:sz="12" w:space="0" w:color="0000FF"/>
              <w:left w:val="nil"/>
              <w:bottom w:val="single" w:sz="12" w:space="0" w:color="0000FF"/>
              <w:right w:val="single" w:sz="12" w:space="0" w:color="0000FF"/>
            </w:tcBorders>
            <w:tcMar>
              <w:top w:w="0" w:type="dxa"/>
              <w:left w:w="30" w:type="dxa"/>
              <w:bottom w:w="0" w:type="dxa"/>
              <w:right w:w="30" w:type="dxa"/>
            </w:tcMar>
            <w:vAlign w:val="center"/>
            <w:hideMark/>
          </w:tcPr>
          <w:p w14:paraId="2BFE988C" w14:textId="77777777" w:rsidR="00075296" w:rsidRPr="00075296" w:rsidRDefault="00075296">
            <w:pPr>
              <w:spacing w:after="150" w:line="285" w:lineRule="atLeast"/>
              <w:rPr>
                <w:rFonts w:ascii="Arial" w:hAnsi="Arial" w:cs="Arial"/>
              </w:rPr>
            </w:pPr>
            <w:r w:rsidRPr="00075296">
              <w:rPr>
                <w:rFonts w:ascii="Arial" w:hAnsi="Arial" w:cs="Arial"/>
              </w:rPr>
              <w:t>QUANTITY</w:t>
            </w:r>
          </w:p>
        </w:tc>
        <w:tc>
          <w:tcPr>
            <w:tcW w:w="3210" w:type="dxa"/>
            <w:tcBorders>
              <w:top w:val="single" w:sz="12" w:space="0" w:color="0000FF"/>
              <w:left w:val="nil"/>
              <w:bottom w:val="single" w:sz="12" w:space="0" w:color="0000FF"/>
              <w:right w:val="single" w:sz="12" w:space="0" w:color="0000FF"/>
            </w:tcBorders>
            <w:tcMar>
              <w:top w:w="0" w:type="dxa"/>
              <w:left w:w="30" w:type="dxa"/>
              <w:bottom w:w="0" w:type="dxa"/>
              <w:right w:w="30" w:type="dxa"/>
            </w:tcMar>
            <w:vAlign w:val="center"/>
            <w:hideMark/>
          </w:tcPr>
          <w:p w14:paraId="612F0E58" w14:textId="77777777" w:rsidR="00075296" w:rsidRPr="00075296" w:rsidRDefault="00075296">
            <w:pPr>
              <w:spacing w:after="150" w:line="285" w:lineRule="atLeast"/>
              <w:rPr>
                <w:rFonts w:ascii="Arial" w:hAnsi="Arial" w:cs="Arial"/>
              </w:rPr>
            </w:pPr>
            <w:r w:rsidRPr="00075296">
              <w:rPr>
                <w:rFonts w:ascii="Arial" w:hAnsi="Arial" w:cs="Arial"/>
              </w:rPr>
              <w:t>1st OFFENSE</w:t>
            </w:r>
          </w:p>
        </w:tc>
        <w:tc>
          <w:tcPr>
            <w:tcW w:w="2935" w:type="dxa"/>
            <w:tcBorders>
              <w:top w:val="single" w:sz="12" w:space="0" w:color="0000FF"/>
              <w:left w:val="nil"/>
              <w:bottom w:val="single" w:sz="12" w:space="0" w:color="0000FF"/>
              <w:right w:val="single" w:sz="12" w:space="0" w:color="0000FF"/>
            </w:tcBorders>
            <w:tcMar>
              <w:top w:w="0" w:type="dxa"/>
              <w:left w:w="30" w:type="dxa"/>
              <w:bottom w:w="0" w:type="dxa"/>
              <w:right w:w="30" w:type="dxa"/>
            </w:tcMar>
            <w:vAlign w:val="center"/>
            <w:hideMark/>
          </w:tcPr>
          <w:p w14:paraId="65463DDA" w14:textId="77777777" w:rsidR="00075296" w:rsidRPr="00075296" w:rsidRDefault="00075296">
            <w:pPr>
              <w:spacing w:after="150" w:line="285" w:lineRule="atLeast"/>
              <w:rPr>
                <w:rFonts w:ascii="Arial" w:hAnsi="Arial" w:cs="Arial"/>
              </w:rPr>
            </w:pPr>
            <w:r w:rsidRPr="00075296">
              <w:rPr>
                <w:rFonts w:ascii="Arial" w:hAnsi="Arial" w:cs="Arial"/>
              </w:rPr>
              <w:t>2nd OFFENSE</w:t>
            </w:r>
          </w:p>
        </w:tc>
      </w:tr>
      <w:tr w:rsidR="00075296" w:rsidRPr="00075296" w14:paraId="39EE3F34" w14:textId="77777777" w:rsidTr="00075296">
        <w:trPr>
          <w:jc w:val="center"/>
        </w:trPr>
        <w:tc>
          <w:tcPr>
            <w:tcW w:w="1100" w:type="dxa"/>
            <w:tcBorders>
              <w:top w:val="nil"/>
              <w:left w:val="single" w:sz="12" w:space="0" w:color="0000FF"/>
              <w:bottom w:val="single" w:sz="12" w:space="0" w:color="0000FF"/>
              <w:right w:val="single" w:sz="12" w:space="0" w:color="0000FF"/>
            </w:tcBorders>
            <w:tcMar>
              <w:top w:w="0" w:type="dxa"/>
              <w:left w:w="30" w:type="dxa"/>
              <w:bottom w:w="0" w:type="dxa"/>
              <w:right w:w="30" w:type="dxa"/>
            </w:tcMar>
            <w:vAlign w:val="center"/>
            <w:hideMark/>
          </w:tcPr>
          <w:p w14:paraId="221C378F" w14:textId="77777777" w:rsidR="00075296" w:rsidRPr="00075296" w:rsidRDefault="00075296">
            <w:pPr>
              <w:spacing w:after="150" w:line="285" w:lineRule="atLeast"/>
              <w:rPr>
                <w:rFonts w:ascii="Arial" w:hAnsi="Arial" w:cs="Arial"/>
              </w:rPr>
            </w:pPr>
            <w:r w:rsidRPr="00075296">
              <w:rPr>
                <w:rFonts w:ascii="Arial" w:hAnsi="Arial" w:cs="Arial"/>
              </w:rPr>
              <w:t>Marijuana</w:t>
            </w:r>
          </w:p>
        </w:tc>
        <w:tc>
          <w:tcPr>
            <w:tcW w:w="1926" w:type="dxa"/>
            <w:tcBorders>
              <w:top w:val="nil"/>
              <w:left w:val="nil"/>
              <w:bottom w:val="single" w:sz="12" w:space="0" w:color="0000FF"/>
              <w:right w:val="single" w:sz="12" w:space="0" w:color="0000FF"/>
            </w:tcBorders>
            <w:tcMar>
              <w:top w:w="0" w:type="dxa"/>
              <w:left w:w="30" w:type="dxa"/>
              <w:bottom w:w="0" w:type="dxa"/>
              <w:right w:w="30" w:type="dxa"/>
            </w:tcMar>
            <w:vAlign w:val="center"/>
            <w:hideMark/>
          </w:tcPr>
          <w:p w14:paraId="2F8C33F4" w14:textId="77777777" w:rsidR="00075296" w:rsidRPr="00075296" w:rsidRDefault="00075296">
            <w:pPr>
              <w:spacing w:after="150" w:line="285" w:lineRule="atLeast"/>
              <w:rPr>
                <w:rFonts w:ascii="Arial" w:hAnsi="Arial" w:cs="Arial"/>
              </w:rPr>
            </w:pPr>
            <w:r w:rsidRPr="00075296">
              <w:rPr>
                <w:rFonts w:ascii="Arial" w:hAnsi="Arial" w:cs="Arial"/>
              </w:rPr>
              <w:t>1,000 kg or more mixture; or 1,000 or more plants</w:t>
            </w:r>
          </w:p>
        </w:tc>
        <w:tc>
          <w:tcPr>
            <w:tcW w:w="3210" w:type="dxa"/>
            <w:tcBorders>
              <w:top w:val="nil"/>
              <w:left w:val="nil"/>
              <w:bottom w:val="single" w:sz="12" w:space="0" w:color="0000FF"/>
              <w:right w:val="single" w:sz="12" w:space="0" w:color="0000FF"/>
            </w:tcBorders>
            <w:tcMar>
              <w:top w:w="0" w:type="dxa"/>
              <w:left w:w="30" w:type="dxa"/>
              <w:bottom w:w="0" w:type="dxa"/>
              <w:right w:w="30" w:type="dxa"/>
            </w:tcMar>
            <w:vAlign w:val="center"/>
            <w:hideMark/>
          </w:tcPr>
          <w:p w14:paraId="30B1EAAA" w14:textId="77777777" w:rsidR="00075296" w:rsidRPr="00075296" w:rsidRDefault="00075296">
            <w:pPr>
              <w:spacing w:after="150" w:line="285" w:lineRule="atLeast"/>
              <w:rPr>
                <w:rFonts w:ascii="Arial" w:hAnsi="Arial" w:cs="Arial"/>
              </w:rPr>
            </w:pPr>
            <w:r w:rsidRPr="00075296">
              <w:rPr>
                <w:rFonts w:ascii="Arial" w:hAnsi="Arial" w:cs="Arial"/>
              </w:rPr>
              <w:t xml:space="preserve">Not less than 10 years, not more than life </w:t>
            </w:r>
          </w:p>
          <w:p w14:paraId="34843920" w14:textId="77777777" w:rsidR="00075296" w:rsidRPr="00075296" w:rsidRDefault="00075296">
            <w:pPr>
              <w:spacing w:after="150" w:line="285" w:lineRule="atLeast"/>
              <w:rPr>
                <w:rFonts w:ascii="Arial" w:hAnsi="Arial" w:cs="Arial"/>
              </w:rPr>
            </w:pPr>
            <w:r w:rsidRPr="00075296">
              <w:rPr>
                <w:rFonts w:ascii="Arial" w:hAnsi="Arial" w:cs="Arial"/>
              </w:rPr>
              <w:t xml:space="preserve">If death or serious injury, not less than 20 years, not more than life </w:t>
            </w:r>
          </w:p>
          <w:p w14:paraId="4F905166" w14:textId="77777777" w:rsidR="00075296" w:rsidRPr="00075296" w:rsidRDefault="00075296">
            <w:pPr>
              <w:spacing w:after="150" w:line="285" w:lineRule="atLeast"/>
              <w:rPr>
                <w:rFonts w:ascii="Arial" w:hAnsi="Arial" w:cs="Arial"/>
              </w:rPr>
            </w:pPr>
            <w:r w:rsidRPr="00075296">
              <w:rPr>
                <w:rFonts w:ascii="Arial" w:hAnsi="Arial" w:cs="Arial"/>
              </w:rPr>
              <w:t xml:space="preserve">Fine not more than $4 million if an individual, $10 million if other than an individual </w:t>
            </w:r>
          </w:p>
        </w:tc>
        <w:tc>
          <w:tcPr>
            <w:tcW w:w="2935" w:type="dxa"/>
            <w:tcBorders>
              <w:top w:val="nil"/>
              <w:left w:val="nil"/>
              <w:bottom w:val="single" w:sz="12" w:space="0" w:color="0000FF"/>
              <w:right w:val="single" w:sz="12" w:space="0" w:color="0000FF"/>
            </w:tcBorders>
            <w:tcMar>
              <w:top w:w="0" w:type="dxa"/>
              <w:left w:w="30" w:type="dxa"/>
              <w:bottom w:w="0" w:type="dxa"/>
              <w:right w:w="30" w:type="dxa"/>
            </w:tcMar>
            <w:vAlign w:val="center"/>
            <w:hideMark/>
          </w:tcPr>
          <w:p w14:paraId="6E8F888C" w14:textId="77777777" w:rsidR="00075296" w:rsidRPr="00075296" w:rsidRDefault="00075296">
            <w:pPr>
              <w:spacing w:after="150" w:line="285" w:lineRule="atLeast"/>
              <w:rPr>
                <w:rFonts w:ascii="Arial" w:hAnsi="Arial" w:cs="Arial"/>
              </w:rPr>
            </w:pPr>
            <w:r w:rsidRPr="00075296">
              <w:rPr>
                <w:rFonts w:ascii="Arial" w:hAnsi="Arial" w:cs="Arial"/>
              </w:rPr>
              <w:t xml:space="preserve">Not less than 20 years, not more than life </w:t>
            </w:r>
          </w:p>
          <w:p w14:paraId="1376628A" w14:textId="77777777" w:rsidR="00075296" w:rsidRPr="00075296" w:rsidRDefault="00075296">
            <w:pPr>
              <w:spacing w:after="150" w:line="285" w:lineRule="atLeast"/>
              <w:rPr>
                <w:rFonts w:ascii="Arial" w:hAnsi="Arial" w:cs="Arial"/>
              </w:rPr>
            </w:pPr>
            <w:r w:rsidRPr="00075296">
              <w:rPr>
                <w:rFonts w:ascii="Arial" w:hAnsi="Arial" w:cs="Arial"/>
              </w:rPr>
              <w:t xml:space="preserve">If death or serious injury, mandatory life </w:t>
            </w:r>
          </w:p>
          <w:p w14:paraId="3FAF0F64" w14:textId="77777777" w:rsidR="00075296" w:rsidRPr="00075296" w:rsidRDefault="00075296">
            <w:pPr>
              <w:spacing w:after="150" w:line="285" w:lineRule="atLeast"/>
              <w:rPr>
                <w:rFonts w:ascii="Arial" w:hAnsi="Arial" w:cs="Arial"/>
              </w:rPr>
            </w:pPr>
            <w:r w:rsidRPr="00075296">
              <w:rPr>
                <w:rFonts w:ascii="Arial" w:hAnsi="Arial" w:cs="Arial"/>
              </w:rPr>
              <w:t xml:space="preserve">Fine not more than $8 million if an individual, $20 million if other than an individual </w:t>
            </w:r>
          </w:p>
        </w:tc>
      </w:tr>
      <w:tr w:rsidR="00075296" w:rsidRPr="00075296" w14:paraId="69D15B71" w14:textId="77777777" w:rsidTr="00075296">
        <w:trPr>
          <w:jc w:val="center"/>
        </w:trPr>
        <w:tc>
          <w:tcPr>
            <w:tcW w:w="1100" w:type="dxa"/>
            <w:tcBorders>
              <w:top w:val="nil"/>
              <w:left w:val="single" w:sz="12" w:space="0" w:color="0000FF"/>
              <w:bottom w:val="single" w:sz="12" w:space="0" w:color="0000FF"/>
              <w:right w:val="single" w:sz="12" w:space="0" w:color="0000FF"/>
            </w:tcBorders>
            <w:tcMar>
              <w:top w:w="0" w:type="dxa"/>
              <w:left w:w="30" w:type="dxa"/>
              <w:bottom w:w="0" w:type="dxa"/>
              <w:right w:w="30" w:type="dxa"/>
            </w:tcMar>
            <w:vAlign w:val="center"/>
            <w:hideMark/>
          </w:tcPr>
          <w:p w14:paraId="03FB797F" w14:textId="77777777" w:rsidR="00075296" w:rsidRPr="00075296" w:rsidRDefault="00075296">
            <w:pPr>
              <w:spacing w:after="150" w:line="285" w:lineRule="atLeast"/>
              <w:rPr>
                <w:rFonts w:ascii="Arial" w:hAnsi="Arial" w:cs="Arial"/>
              </w:rPr>
            </w:pPr>
            <w:r w:rsidRPr="00075296">
              <w:rPr>
                <w:rFonts w:ascii="Arial" w:hAnsi="Arial" w:cs="Arial"/>
              </w:rPr>
              <w:t>Marijuana</w:t>
            </w:r>
          </w:p>
        </w:tc>
        <w:tc>
          <w:tcPr>
            <w:tcW w:w="1926" w:type="dxa"/>
            <w:tcBorders>
              <w:top w:val="nil"/>
              <w:left w:val="nil"/>
              <w:bottom w:val="single" w:sz="12" w:space="0" w:color="0000FF"/>
              <w:right w:val="single" w:sz="12" w:space="0" w:color="0000FF"/>
            </w:tcBorders>
            <w:tcMar>
              <w:top w:w="0" w:type="dxa"/>
              <w:left w:w="30" w:type="dxa"/>
              <w:bottom w:w="0" w:type="dxa"/>
              <w:right w:w="30" w:type="dxa"/>
            </w:tcMar>
            <w:vAlign w:val="center"/>
            <w:hideMark/>
          </w:tcPr>
          <w:p w14:paraId="6170BB2D" w14:textId="77777777" w:rsidR="00075296" w:rsidRPr="00075296" w:rsidRDefault="00075296">
            <w:pPr>
              <w:spacing w:after="150" w:line="285" w:lineRule="atLeast"/>
              <w:rPr>
                <w:rFonts w:ascii="Arial" w:hAnsi="Arial" w:cs="Arial"/>
              </w:rPr>
            </w:pPr>
            <w:r w:rsidRPr="00075296">
              <w:rPr>
                <w:rFonts w:ascii="Arial" w:hAnsi="Arial" w:cs="Arial"/>
              </w:rPr>
              <w:t>100 kg to 999 kg mixture; or 100 to 999 plants</w:t>
            </w:r>
          </w:p>
        </w:tc>
        <w:tc>
          <w:tcPr>
            <w:tcW w:w="3210" w:type="dxa"/>
            <w:tcBorders>
              <w:top w:val="nil"/>
              <w:left w:val="nil"/>
              <w:bottom w:val="single" w:sz="12" w:space="0" w:color="0000FF"/>
              <w:right w:val="single" w:sz="12" w:space="0" w:color="0000FF"/>
            </w:tcBorders>
            <w:tcMar>
              <w:top w:w="0" w:type="dxa"/>
              <w:left w:w="30" w:type="dxa"/>
              <w:bottom w:w="0" w:type="dxa"/>
              <w:right w:w="30" w:type="dxa"/>
            </w:tcMar>
            <w:vAlign w:val="center"/>
            <w:hideMark/>
          </w:tcPr>
          <w:p w14:paraId="3CC99679" w14:textId="77777777" w:rsidR="00075296" w:rsidRPr="00075296" w:rsidRDefault="00075296">
            <w:pPr>
              <w:spacing w:after="150" w:line="285" w:lineRule="atLeast"/>
              <w:rPr>
                <w:rFonts w:ascii="Arial" w:hAnsi="Arial" w:cs="Arial"/>
              </w:rPr>
            </w:pPr>
            <w:r w:rsidRPr="00075296">
              <w:rPr>
                <w:rFonts w:ascii="Arial" w:hAnsi="Arial" w:cs="Arial"/>
              </w:rPr>
              <w:t xml:space="preserve">Not less than 5 years, not more than 40 years </w:t>
            </w:r>
          </w:p>
          <w:p w14:paraId="1C9E73BB" w14:textId="77777777" w:rsidR="00075296" w:rsidRPr="00075296" w:rsidRDefault="00075296">
            <w:pPr>
              <w:spacing w:after="150" w:line="285" w:lineRule="atLeast"/>
              <w:rPr>
                <w:rFonts w:ascii="Arial" w:hAnsi="Arial" w:cs="Arial"/>
              </w:rPr>
            </w:pPr>
            <w:r w:rsidRPr="00075296">
              <w:rPr>
                <w:rFonts w:ascii="Arial" w:hAnsi="Arial" w:cs="Arial"/>
              </w:rPr>
              <w:t xml:space="preserve">If death or serious injury, not less than 20 years, not more than life </w:t>
            </w:r>
          </w:p>
          <w:p w14:paraId="05CA8343" w14:textId="77777777" w:rsidR="00075296" w:rsidRPr="00075296" w:rsidRDefault="00075296">
            <w:pPr>
              <w:spacing w:after="150" w:line="285" w:lineRule="atLeast"/>
              <w:rPr>
                <w:rFonts w:ascii="Arial" w:hAnsi="Arial" w:cs="Arial"/>
              </w:rPr>
            </w:pPr>
            <w:r w:rsidRPr="00075296">
              <w:rPr>
                <w:rFonts w:ascii="Arial" w:hAnsi="Arial" w:cs="Arial"/>
              </w:rPr>
              <w:t xml:space="preserve">Fine not more than $2 million if an individual, $5 million if other than an individual </w:t>
            </w:r>
          </w:p>
        </w:tc>
        <w:tc>
          <w:tcPr>
            <w:tcW w:w="2935" w:type="dxa"/>
            <w:tcBorders>
              <w:top w:val="nil"/>
              <w:left w:val="nil"/>
              <w:bottom w:val="single" w:sz="12" w:space="0" w:color="0000FF"/>
              <w:right w:val="single" w:sz="12" w:space="0" w:color="0000FF"/>
            </w:tcBorders>
            <w:tcMar>
              <w:top w:w="0" w:type="dxa"/>
              <w:left w:w="30" w:type="dxa"/>
              <w:bottom w:w="0" w:type="dxa"/>
              <w:right w:w="30" w:type="dxa"/>
            </w:tcMar>
            <w:vAlign w:val="center"/>
            <w:hideMark/>
          </w:tcPr>
          <w:p w14:paraId="451A48E7" w14:textId="77777777" w:rsidR="00075296" w:rsidRPr="00075296" w:rsidRDefault="00075296">
            <w:pPr>
              <w:spacing w:after="150" w:line="285" w:lineRule="atLeast"/>
              <w:rPr>
                <w:rFonts w:ascii="Arial" w:hAnsi="Arial" w:cs="Arial"/>
              </w:rPr>
            </w:pPr>
            <w:r w:rsidRPr="00075296">
              <w:rPr>
                <w:rFonts w:ascii="Arial" w:hAnsi="Arial" w:cs="Arial"/>
              </w:rPr>
              <w:t xml:space="preserve">Not less than 10 years, not more than life </w:t>
            </w:r>
          </w:p>
          <w:p w14:paraId="1C6B9C2A" w14:textId="77777777" w:rsidR="00075296" w:rsidRPr="00075296" w:rsidRDefault="00075296">
            <w:pPr>
              <w:spacing w:after="150" w:line="285" w:lineRule="atLeast"/>
              <w:rPr>
                <w:rFonts w:ascii="Arial" w:hAnsi="Arial" w:cs="Arial"/>
              </w:rPr>
            </w:pPr>
            <w:r w:rsidRPr="00075296">
              <w:rPr>
                <w:rFonts w:ascii="Arial" w:hAnsi="Arial" w:cs="Arial"/>
              </w:rPr>
              <w:t xml:space="preserve">If death or serious injury, mandatory life </w:t>
            </w:r>
          </w:p>
          <w:p w14:paraId="6752AD5B" w14:textId="77777777" w:rsidR="00075296" w:rsidRPr="00075296" w:rsidRDefault="00075296">
            <w:pPr>
              <w:spacing w:after="150" w:line="285" w:lineRule="atLeast"/>
              <w:rPr>
                <w:rFonts w:ascii="Arial" w:hAnsi="Arial" w:cs="Arial"/>
              </w:rPr>
            </w:pPr>
            <w:r w:rsidRPr="00075296">
              <w:rPr>
                <w:rFonts w:ascii="Arial" w:hAnsi="Arial" w:cs="Arial"/>
              </w:rPr>
              <w:t xml:space="preserve">Fine not more than $4 million if an individual, $10 million if other than an individual </w:t>
            </w:r>
          </w:p>
        </w:tc>
      </w:tr>
      <w:tr w:rsidR="00075296" w:rsidRPr="00075296" w14:paraId="6446BFBB" w14:textId="77777777" w:rsidTr="00075296">
        <w:trPr>
          <w:jc w:val="center"/>
        </w:trPr>
        <w:tc>
          <w:tcPr>
            <w:tcW w:w="1100" w:type="dxa"/>
            <w:tcBorders>
              <w:top w:val="nil"/>
              <w:left w:val="single" w:sz="12" w:space="0" w:color="0000FF"/>
              <w:bottom w:val="single" w:sz="12" w:space="0" w:color="0000FF"/>
              <w:right w:val="single" w:sz="12" w:space="0" w:color="0000FF"/>
            </w:tcBorders>
            <w:tcMar>
              <w:top w:w="0" w:type="dxa"/>
              <w:left w:w="30" w:type="dxa"/>
              <w:bottom w:w="0" w:type="dxa"/>
              <w:right w:w="30" w:type="dxa"/>
            </w:tcMar>
            <w:vAlign w:val="center"/>
            <w:hideMark/>
          </w:tcPr>
          <w:p w14:paraId="1FADE0A9" w14:textId="77777777" w:rsidR="00075296" w:rsidRPr="00075296" w:rsidRDefault="00075296">
            <w:pPr>
              <w:spacing w:after="150" w:line="285" w:lineRule="atLeast"/>
              <w:rPr>
                <w:rFonts w:ascii="Arial" w:hAnsi="Arial" w:cs="Arial"/>
              </w:rPr>
            </w:pPr>
            <w:r w:rsidRPr="00075296">
              <w:rPr>
                <w:rFonts w:ascii="Arial" w:hAnsi="Arial" w:cs="Arial"/>
              </w:rPr>
              <w:t>Marijuana</w:t>
            </w:r>
          </w:p>
        </w:tc>
        <w:tc>
          <w:tcPr>
            <w:tcW w:w="1926" w:type="dxa"/>
            <w:tcBorders>
              <w:top w:val="nil"/>
              <w:left w:val="nil"/>
              <w:bottom w:val="single" w:sz="12" w:space="0" w:color="0000FF"/>
              <w:right w:val="single" w:sz="12" w:space="0" w:color="0000FF"/>
            </w:tcBorders>
            <w:tcMar>
              <w:top w:w="0" w:type="dxa"/>
              <w:left w:w="30" w:type="dxa"/>
              <w:bottom w:w="0" w:type="dxa"/>
              <w:right w:w="30" w:type="dxa"/>
            </w:tcMar>
            <w:vAlign w:val="center"/>
            <w:hideMark/>
          </w:tcPr>
          <w:p w14:paraId="6C90685E" w14:textId="77777777" w:rsidR="00075296" w:rsidRPr="00075296" w:rsidRDefault="00075296">
            <w:pPr>
              <w:spacing w:after="150" w:line="285" w:lineRule="atLeast"/>
              <w:rPr>
                <w:rFonts w:ascii="Arial" w:hAnsi="Arial" w:cs="Arial"/>
              </w:rPr>
            </w:pPr>
            <w:r w:rsidRPr="00075296">
              <w:rPr>
                <w:rFonts w:ascii="Arial" w:hAnsi="Arial" w:cs="Arial"/>
              </w:rPr>
              <w:t>more than 10 kgs hashish; 50 to 99 kg mixture</w:t>
            </w:r>
          </w:p>
          <w:p w14:paraId="7B00C818" w14:textId="77777777" w:rsidR="00075296" w:rsidRPr="00075296" w:rsidRDefault="00075296">
            <w:pPr>
              <w:spacing w:after="150" w:line="285" w:lineRule="atLeast"/>
              <w:rPr>
                <w:rFonts w:ascii="Arial" w:hAnsi="Arial" w:cs="Arial"/>
              </w:rPr>
            </w:pPr>
            <w:r w:rsidRPr="00075296">
              <w:rPr>
                <w:rFonts w:ascii="Arial" w:hAnsi="Arial" w:cs="Arial"/>
              </w:rPr>
              <w:t>more than 1 kg of hashish oil; 50 to 99 plants</w:t>
            </w:r>
          </w:p>
        </w:tc>
        <w:tc>
          <w:tcPr>
            <w:tcW w:w="3210" w:type="dxa"/>
            <w:tcBorders>
              <w:top w:val="nil"/>
              <w:left w:val="nil"/>
              <w:bottom w:val="single" w:sz="12" w:space="0" w:color="0000FF"/>
              <w:right w:val="single" w:sz="12" w:space="0" w:color="0000FF"/>
            </w:tcBorders>
            <w:tcMar>
              <w:top w:w="0" w:type="dxa"/>
              <w:left w:w="30" w:type="dxa"/>
              <w:bottom w:w="0" w:type="dxa"/>
              <w:right w:w="30" w:type="dxa"/>
            </w:tcMar>
            <w:vAlign w:val="center"/>
            <w:hideMark/>
          </w:tcPr>
          <w:p w14:paraId="68093AED" w14:textId="77777777" w:rsidR="00075296" w:rsidRPr="00075296" w:rsidRDefault="00075296">
            <w:pPr>
              <w:spacing w:after="150" w:line="285" w:lineRule="atLeast"/>
              <w:rPr>
                <w:rFonts w:ascii="Arial" w:hAnsi="Arial" w:cs="Arial"/>
              </w:rPr>
            </w:pPr>
            <w:r w:rsidRPr="00075296">
              <w:rPr>
                <w:rFonts w:ascii="Arial" w:hAnsi="Arial" w:cs="Arial"/>
              </w:rPr>
              <w:t xml:space="preserve">Not more than 20 years </w:t>
            </w:r>
          </w:p>
          <w:p w14:paraId="452679D4" w14:textId="77777777" w:rsidR="00075296" w:rsidRPr="00075296" w:rsidRDefault="00075296">
            <w:pPr>
              <w:spacing w:after="150" w:line="285" w:lineRule="atLeast"/>
              <w:rPr>
                <w:rFonts w:ascii="Arial" w:hAnsi="Arial" w:cs="Arial"/>
              </w:rPr>
            </w:pPr>
            <w:r w:rsidRPr="00075296">
              <w:rPr>
                <w:rFonts w:ascii="Arial" w:hAnsi="Arial" w:cs="Arial"/>
              </w:rPr>
              <w:t xml:space="preserve">If death or serious injury, not less than 20 years, not more than life </w:t>
            </w:r>
          </w:p>
          <w:p w14:paraId="701C8AC9" w14:textId="77777777" w:rsidR="00075296" w:rsidRPr="00075296" w:rsidRDefault="00075296">
            <w:pPr>
              <w:spacing w:after="150" w:line="285" w:lineRule="atLeast"/>
              <w:rPr>
                <w:rFonts w:ascii="Arial" w:hAnsi="Arial" w:cs="Arial"/>
              </w:rPr>
            </w:pPr>
            <w:r w:rsidRPr="00075296">
              <w:rPr>
                <w:rFonts w:ascii="Arial" w:hAnsi="Arial" w:cs="Arial"/>
              </w:rPr>
              <w:t xml:space="preserve">Fine $1 million if an individual, $5 million if other than an individual </w:t>
            </w:r>
          </w:p>
        </w:tc>
        <w:tc>
          <w:tcPr>
            <w:tcW w:w="2935" w:type="dxa"/>
            <w:tcBorders>
              <w:top w:val="nil"/>
              <w:left w:val="nil"/>
              <w:bottom w:val="single" w:sz="12" w:space="0" w:color="0000FF"/>
              <w:right w:val="single" w:sz="12" w:space="0" w:color="0000FF"/>
            </w:tcBorders>
            <w:tcMar>
              <w:top w:w="0" w:type="dxa"/>
              <w:left w:w="30" w:type="dxa"/>
              <w:bottom w:w="0" w:type="dxa"/>
              <w:right w:w="30" w:type="dxa"/>
            </w:tcMar>
            <w:vAlign w:val="center"/>
            <w:hideMark/>
          </w:tcPr>
          <w:p w14:paraId="120539E2" w14:textId="77777777" w:rsidR="00075296" w:rsidRPr="00075296" w:rsidRDefault="00075296">
            <w:pPr>
              <w:spacing w:after="150" w:line="285" w:lineRule="atLeast"/>
              <w:rPr>
                <w:rFonts w:ascii="Arial" w:hAnsi="Arial" w:cs="Arial"/>
              </w:rPr>
            </w:pPr>
            <w:r w:rsidRPr="00075296">
              <w:rPr>
                <w:rFonts w:ascii="Arial" w:hAnsi="Arial" w:cs="Arial"/>
              </w:rPr>
              <w:t xml:space="preserve">Not more than 30 years </w:t>
            </w:r>
          </w:p>
          <w:p w14:paraId="6D8A4620" w14:textId="77777777" w:rsidR="00075296" w:rsidRPr="00075296" w:rsidRDefault="00075296">
            <w:pPr>
              <w:spacing w:after="150" w:line="285" w:lineRule="atLeast"/>
              <w:rPr>
                <w:rFonts w:ascii="Arial" w:hAnsi="Arial" w:cs="Arial"/>
              </w:rPr>
            </w:pPr>
            <w:r w:rsidRPr="00075296">
              <w:rPr>
                <w:rFonts w:ascii="Arial" w:hAnsi="Arial" w:cs="Arial"/>
              </w:rPr>
              <w:t xml:space="preserve">If death or serious injury, mandatory life </w:t>
            </w:r>
          </w:p>
          <w:p w14:paraId="6CB12E36" w14:textId="77777777" w:rsidR="00075296" w:rsidRPr="00075296" w:rsidRDefault="00075296">
            <w:pPr>
              <w:spacing w:after="150" w:line="285" w:lineRule="atLeast"/>
              <w:rPr>
                <w:rFonts w:ascii="Arial" w:hAnsi="Arial" w:cs="Arial"/>
              </w:rPr>
            </w:pPr>
            <w:r w:rsidRPr="00075296">
              <w:rPr>
                <w:rFonts w:ascii="Arial" w:hAnsi="Arial" w:cs="Arial"/>
              </w:rPr>
              <w:t xml:space="preserve">Fine $2 million if an individual, $10 million if other than individual </w:t>
            </w:r>
          </w:p>
        </w:tc>
      </w:tr>
      <w:tr w:rsidR="00075296" w:rsidRPr="00075296" w14:paraId="53D7801D" w14:textId="77777777" w:rsidTr="00075296">
        <w:trPr>
          <w:jc w:val="center"/>
        </w:trPr>
        <w:tc>
          <w:tcPr>
            <w:tcW w:w="1100" w:type="dxa"/>
            <w:tcBorders>
              <w:top w:val="nil"/>
              <w:left w:val="single" w:sz="12" w:space="0" w:color="0000FF"/>
              <w:bottom w:val="single" w:sz="12" w:space="0" w:color="0000FF"/>
              <w:right w:val="single" w:sz="12" w:space="0" w:color="0000FF"/>
            </w:tcBorders>
            <w:tcMar>
              <w:top w:w="0" w:type="dxa"/>
              <w:left w:w="30" w:type="dxa"/>
              <w:bottom w:w="0" w:type="dxa"/>
              <w:right w:w="30" w:type="dxa"/>
            </w:tcMar>
            <w:vAlign w:val="center"/>
            <w:hideMark/>
          </w:tcPr>
          <w:p w14:paraId="09365B5A" w14:textId="77777777" w:rsidR="00075296" w:rsidRPr="00075296" w:rsidRDefault="00075296">
            <w:pPr>
              <w:spacing w:after="150" w:line="285" w:lineRule="atLeast"/>
              <w:rPr>
                <w:rFonts w:ascii="Arial" w:hAnsi="Arial" w:cs="Arial"/>
              </w:rPr>
            </w:pPr>
            <w:r w:rsidRPr="00075296">
              <w:rPr>
                <w:rFonts w:ascii="Arial" w:hAnsi="Arial" w:cs="Arial"/>
              </w:rPr>
              <w:t>Marijuana</w:t>
            </w:r>
          </w:p>
        </w:tc>
        <w:tc>
          <w:tcPr>
            <w:tcW w:w="1926" w:type="dxa"/>
            <w:tcBorders>
              <w:top w:val="nil"/>
              <w:left w:val="nil"/>
              <w:bottom w:val="single" w:sz="12" w:space="0" w:color="0000FF"/>
              <w:right w:val="single" w:sz="12" w:space="0" w:color="0000FF"/>
            </w:tcBorders>
            <w:tcMar>
              <w:top w:w="0" w:type="dxa"/>
              <w:left w:w="30" w:type="dxa"/>
              <w:bottom w:w="0" w:type="dxa"/>
              <w:right w:w="30" w:type="dxa"/>
            </w:tcMar>
            <w:vAlign w:val="center"/>
            <w:hideMark/>
          </w:tcPr>
          <w:p w14:paraId="055B4D30" w14:textId="77777777" w:rsidR="00075296" w:rsidRPr="00075296" w:rsidRDefault="00075296">
            <w:pPr>
              <w:spacing w:after="150" w:line="285" w:lineRule="atLeast"/>
              <w:rPr>
                <w:rFonts w:ascii="Arial" w:hAnsi="Arial" w:cs="Arial"/>
              </w:rPr>
            </w:pPr>
            <w:r w:rsidRPr="00075296">
              <w:rPr>
                <w:rFonts w:ascii="Arial" w:hAnsi="Arial" w:cs="Arial"/>
              </w:rPr>
              <w:t>1 to 49 plants; less than 50 kg mixture</w:t>
            </w:r>
          </w:p>
        </w:tc>
        <w:tc>
          <w:tcPr>
            <w:tcW w:w="3210" w:type="dxa"/>
            <w:vMerge w:val="restart"/>
            <w:tcBorders>
              <w:top w:val="nil"/>
              <w:left w:val="nil"/>
              <w:bottom w:val="single" w:sz="12" w:space="0" w:color="0000FF"/>
              <w:right w:val="single" w:sz="12" w:space="0" w:color="0000FF"/>
            </w:tcBorders>
            <w:tcMar>
              <w:top w:w="0" w:type="dxa"/>
              <w:left w:w="30" w:type="dxa"/>
              <w:bottom w:w="0" w:type="dxa"/>
              <w:right w:w="30" w:type="dxa"/>
            </w:tcMar>
            <w:vAlign w:val="center"/>
            <w:hideMark/>
          </w:tcPr>
          <w:p w14:paraId="1AACD47A" w14:textId="77777777" w:rsidR="00075296" w:rsidRPr="00075296" w:rsidRDefault="00075296">
            <w:pPr>
              <w:spacing w:after="150" w:line="285" w:lineRule="atLeast"/>
              <w:rPr>
                <w:rFonts w:ascii="Arial" w:hAnsi="Arial" w:cs="Arial"/>
              </w:rPr>
            </w:pPr>
            <w:r w:rsidRPr="00075296">
              <w:rPr>
                <w:rFonts w:ascii="Arial" w:hAnsi="Arial" w:cs="Arial"/>
              </w:rPr>
              <w:t xml:space="preserve">Not more than 5 years </w:t>
            </w:r>
          </w:p>
          <w:p w14:paraId="735FFBF9" w14:textId="77777777" w:rsidR="00075296" w:rsidRPr="00075296" w:rsidRDefault="00075296">
            <w:pPr>
              <w:spacing w:after="150" w:line="285" w:lineRule="atLeast"/>
              <w:rPr>
                <w:rFonts w:ascii="Arial" w:hAnsi="Arial" w:cs="Arial"/>
              </w:rPr>
            </w:pPr>
            <w:r w:rsidRPr="00075296">
              <w:rPr>
                <w:rFonts w:ascii="Arial" w:hAnsi="Arial" w:cs="Arial"/>
              </w:rPr>
              <w:t xml:space="preserve">Fine not more than $250,000, $1 million other than individual </w:t>
            </w:r>
          </w:p>
        </w:tc>
        <w:tc>
          <w:tcPr>
            <w:tcW w:w="2935" w:type="dxa"/>
            <w:vMerge w:val="restart"/>
            <w:tcBorders>
              <w:top w:val="nil"/>
              <w:left w:val="nil"/>
              <w:bottom w:val="single" w:sz="12" w:space="0" w:color="0000FF"/>
              <w:right w:val="single" w:sz="12" w:space="0" w:color="0000FF"/>
            </w:tcBorders>
            <w:tcMar>
              <w:top w:w="0" w:type="dxa"/>
              <w:left w:w="30" w:type="dxa"/>
              <w:bottom w:w="0" w:type="dxa"/>
              <w:right w:w="30" w:type="dxa"/>
            </w:tcMar>
            <w:vAlign w:val="center"/>
            <w:hideMark/>
          </w:tcPr>
          <w:p w14:paraId="44526D60" w14:textId="77777777" w:rsidR="00075296" w:rsidRPr="00075296" w:rsidRDefault="00075296">
            <w:pPr>
              <w:spacing w:after="150" w:line="285" w:lineRule="atLeast"/>
              <w:rPr>
                <w:rFonts w:ascii="Arial" w:hAnsi="Arial" w:cs="Arial"/>
              </w:rPr>
            </w:pPr>
            <w:r w:rsidRPr="00075296">
              <w:rPr>
                <w:rFonts w:ascii="Arial" w:hAnsi="Arial" w:cs="Arial"/>
              </w:rPr>
              <w:t xml:space="preserve">Not more than 10 years </w:t>
            </w:r>
          </w:p>
          <w:p w14:paraId="293AE7B3" w14:textId="77777777" w:rsidR="00075296" w:rsidRPr="00075296" w:rsidRDefault="00075296">
            <w:pPr>
              <w:spacing w:after="150" w:line="285" w:lineRule="atLeast"/>
              <w:rPr>
                <w:rFonts w:ascii="Arial" w:hAnsi="Arial" w:cs="Arial"/>
              </w:rPr>
            </w:pPr>
            <w:r w:rsidRPr="00075296">
              <w:rPr>
                <w:rFonts w:ascii="Arial" w:hAnsi="Arial" w:cs="Arial"/>
              </w:rPr>
              <w:t xml:space="preserve">Fine $500,000 if an individual, $2 million if other than individual </w:t>
            </w:r>
          </w:p>
        </w:tc>
      </w:tr>
      <w:tr w:rsidR="00075296" w:rsidRPr="00075296" w14:paraId="3FC09C0F" w14:textId="77777777" w:rsidTr="00075296">
        <w:trPr>
          <w:jc w:val="center"/>
        </w:trPr>
        <w:tc>
          <w:tcPr>
            <w:tcW w:w="1100" w:type="dxa"/>
            <w:tcBorders>
              <w:top w:val="nil"/>
              <w:left w:val="single" w:sz="12" w:space="0" w:color="0000FF"/>
              <w:bottom w:val="single" w:sz="12" w:space="0" w:color="0000FF"/>
              <w:right w:val="single" w:sz="12" w:space="0" w:color="0000FF"/>
            </w:tcBorders>
            <w:tcMar>
              <w:top w:w="0" w:type="dxa"/>
              <w:left w:w="30" w:type="dxa"/>
              <w:bottom w:w="0" w:type="dxa"/>
              <w:right w:w="30" w:type="dxa"/>
            </w:tcMar>
            <w:vAlign w:val="center"/>
            <w:hideMark/>
          </w:tcPr>
          <w:p w14:paraId="0D5ABA52" w14:textId="77777777" w:rsidR="00075296" w:rsidRPr="00075296" w:rsidRDefault="00075296">
            <w:pPr>
              <w:spacing w:after="150" w:line="285" w:lineRule="atLeast"/>
              <w:rPr>
                <w:rFonts w:ascii="Arial" w:hAnsi="Arial" w:cs="Arial"/>
              </w:rPr>
            </w:pPr>
            <w:r w:rsidRPr="00075296">
              <w:rPr>
                <w:rFonts w:ascii="Arial" w:hAnsi="Arial" w:cs="Arial"/>
              </w:rPr>
              <w:t>Hashish</w:t>
            </w:r>
          </w:p>
        </w:tc>
        <w:tc>
          <w:tcPr>
            <w:tcW w:w="1926" w:type="dxa"/>
            <w:tcBorders>
              <w:top w:val="nil"/>
              <w:left w:val="nil"/>
              <w:bottom w:val="single" w:sz="12" w:space="0" w:color="0000FF"/>
              <w:right w:val="single" w:sz="12" w:space="0" w:color="0000FF"/>
            </w:tcBorders>
            <w:tcMar>
              <w:top w:w="0" w:type="dxa"/>
              <w:left w:w="30" w:type="dxa"/>
              <w:bottom w:w="0" w:type="dxa"/>
              <w:right w:w="30" w:type="dxa"/>
            </w:tcMar>
            <w:vAlign w:val="center"/>
            <w:hideMark/>
          </w:tcPr>
          <w:p w14:paraId="6CAA90D6" w14:textId="77777777" w:rsidR="00075296" w:rsidRPr="00075296" w:rsidRDefault="00075296">
            <w:pPr>
              <w:spacing w:after="150" w:line="285" w:lineRule="atLeast"/>
              <w:rPr>
                <w:rFonts w:ascii="Arial" w:hAnsi="Arial" w:cs="Arial"/>
              </w:rPr>
            </w:pPr>
            <w:r w:rsidRPr="00075296">
              <w:rPr>
                <w:rFonts w:ascii="Arial" w:hAnsi="Arial" w:cs="Arial"/>
              </w:rPr>
              <w:t>10 kg or less</w:t>
            </w:r>
          </w:p>
        </w:tc>
        <w:tc>
          <w:tcPr>
            <w:tcW w:w="0" w:type="auto"/>
            <w:vMerge/>
            <w:tcBorders>
              <w:top w:val="nil"/>
              <w:left w:val="nil"/>
              <w:bottom w:val="single" w:sz="12" w:space="0" w:color="0000FF"/>
              <w:right w:val="single" w:sz="12" w:space="0" w:color="0000FF"/>
            </w:tcBorders>
            <w:vAlign w:val="center"/>
            <w:hideMark/>
          </w:tcPr>
          <w:p w14:paraId="668352A8" w14:textId="77777777" w:rsidR="00075296" w:rsidRPr="00075296" w:rsidRDefault="00075296">
            <w:pPr>
              <w:rPr>
                <w:rFonts w:ascii="Arial" w:hAnsi="Arial" w:cs="Arial"/>
              </w:rPr>
            </w:pPr>
          </w:p>
        </w:tc>
        <w:tc>
          <w:tcPr>
            <w:tcW w:w="0" w:type="auto"/>
            <w:vMerge/>
            <w:tcBorders>
              <w:top w:val="nil"/>
              <w:left w:val="nil"/>
              <w:bottom w:val="single" w:sz="12" w:space="0" w:color="0000FF"/>
              <w:right w:val="single" w:sz="12" w:space="0" w:color="0000FF"/>
            </w:tcBorders>
            <w:vAlign w:val="center"/>
            <w:hideMark/>
          </w:tcPr>
          <w:p w14:paraId="5706ED0B" w14:textId="77777777" w:rsidR="00075296" w:rsidRPr="00075296" w:rsidRDefault="00075296">
            <w:pPr>
              <w:rPr>
                <w:rFonts w:ascii="Arial" w:hAnsi="Arial" w:cs="Arial"/>
              </w:rPr>
            </w:pPr>
          </w:p>
        </w:tc>
      </w:tr>
      <w:tr w:rsidR="00075296" w:rsidRPr="00075296" w14:paraId="3387D81A" w14:textId="77777777" w:rsidTr="00075296">
        <w:trPr>
          <w:jc w:val="center"/>
        </w:trPr>
        <w:tc>
          <w:tcPr>
            <w:tcW w:w="1100" w:type="dxa"/>
            <w:tcBorders>
              <w:top w:val="nil"/>
              <w:left w:val="single" w:sz="12" w:space="0" w:color="0000FF"/>
              <w:bottom w:val="single" w:sz="12" w:space="0" w:color="0000FF"/>
              <w:right w:val="single" w:sz="12" w:space="0" w:color="0000FF"/>
            </w:tcBorders>
            <w:tcMar>
              <w:top w:w="0" w:type="dxa"/>
              <w:left w:w="30" w:type="dxa"/>
              <w:bottom w:w="0" w:type="dxa"/>
              <w:right w:w="30" w:type="dxa"/>
            </w:tcMar>
            <w:vAlign w:val="center"/>
            <w:hideMark/>
          </w:tcPr>
          <w:p w14:paraId="5B2FB5DA" w14:textId="77777777" w:rsidR="00075296" w:rsidRPr="00075296" w:rsidRDefault="00075296">
            <w:pPr>
              <w:spacing w:after="150" w:line="285" w:lineRule="atLeast"/>
              <w:rPr>
                <w:rFonts w:ascii="Arial" w:hAnsi="Arial" w:cs="Arial"/>
              </w:rPr>
            </w:pPr>
            <w:r w:rsidRPr="00075296">
              <w:rPr>
                <w:rFonts w:ascii="Arial" w:hAnsi="Arial" w:cs="Arial"/>
              </w:rPr>
              <w:t>Hashish Oil</w:t>
            </w:r>
          </w:p>
        </w:tc>
        <w:tc>
          <w:tcPr>
            <w:tcW w:w="1926" w:type="dxa"/>
            <w:tcBorders>
              <w:top w:val="nil"/>
              <w:left w:val="nil"/>
              <w:bottom w:val="single" w:sz="12" w:space="0" w:color="0000FF"/>
              <w:right w:val="single" w:sz="12" w:space="0" w:color="0000FF"/>
            </w:tcBorders>
            <w:tcMar>
              <w:top w:w="0" w:type="dxa"/>
              <w:left w:w="30" w:type="dxa"/>
              <w:bottom w:w="0" w:type="dxa"/>
              <w:right w:w="30" w:type="dxa"/>
            </w:tcMar>
            <w:vAlign w:val="center"/>
            <w:hideMark/>
          </w:tcPr>
          <w:p w14:paraId="50605432" w14:textId="77777777" w:rsidR="00075296" w:rsidRPr="00075296" w:rsidRDefault="00075296">
            <w:pPr>
              <w:spacing w:after="150" w:line="285" w:lineRule="atLeast"/>
              <w:rPr>
                <w:rFonts w:ascii="Arial" w:hAnsi="Arial" w:cs="Arial"/>
              </w:rPr>
            </w:pPr>
            <w:r w:rsidRPr="00075296">
              <w:rPr>
                <w:rFonts w:ascii="Arial" w:hAnsi="Arial" w:cs="Arial"/>
              </w:rPr>
              <w:t xml:space="preserve">1 kg </w:t>
            </w:r>
          </w:p>
        </w:tc>
        <w:tc>
          <w:tcPr>
            <w:tcW w:w="0" w:type="auto"/>
            <w:vMerge/>
            <w:tcBorders>
              <w:top w:val="nil"/>
              <w:left w:val="nil"/>
              <w:bottom w:val="single" w:sz="12" w:space="0" w:color="0000FF"/>
              <w:right w:val="single" w:sz="12" w:space="0" w:color="0000FF"/>
            </w:tcBorders>
            <w:vAlign w:val="center"/>
            <w:hideMark/>
          </w:tcPr>
          <w:p w14:paraId="1A8AE080" w14:textId="77777777" w:rsidR="00075296" w:rsidRPr="00075296" w:rsidRDefault="00075296">
            <w:pPr>
              <w:rPr>
                <w:rFonts w:ascii="Arial" w:hAnsi="Arial" w:cs="Arial"/>
              </w:rPr>
            </w:pPr>
          </w:p>
        </w:tc>
        <w:tc>
          <w:tcPr>
            <w:tcW w:w="0" w:type="auto"/>
            <w:vMerge/>
            <w:tcBorders>
              <w:top w:val="nil"/>
              <w:left w:val="nil"/>
              <w:bottom w:val="single" w:sz="12" w:space="0" w:color="0000FF"/>
              <w:right w:val="single" w:sz="12" w:space="0" w:color="0000FF"/>
            </w:tcBorders>
            <w:vAlign w:val="center"/>
            <w:hideMark/>
          </w:tcPr>
          <w:p w14:paraId="5CD35C46" w14:textId="77777777" w:rsidR="00075296" w:rsidRPr="00075296" w:rsidRDefault="00075296">
            <w:pPr>
              <w:rPr>
                <w:rFonts w:ascii="Arial" w:hAnsi="Arial" w:cs="Arial"/>
              </w:rPr>
            </w:pPr>
          </w:p>
        </w:tc>
      </w:tr>
    </w:tbl>
    <w:p w14:paraId="7D7A1BC8" w14:textId="77777777" w:rsidR="00075296" w:rsidRPr="00075296" w:rsidRDefault="00075296" w:rsidP="00075296">
      <w:pPr>
        <w:spacing w:after="150" w:line="285" w:lineRule="atLeast"/>
        <w:rPr>
          <w:rFonts w:ascii="Arial" w:hAnsi="Arial" w:cs="Arial"/>
        </w:rPr>
      </w:pPr>
    </w:p>
    <w:p w14:paraId="5088CCA7"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Any attempt or conspiracy to commit one of the above federal offenses, even if unsuccessful, is punishable by the same sentence prescribed for that offense. Although in some cases the federal penalties seem somewhat lighter, it is not possible to “trade” a state charge for a federal one. </w:t>
      </w:r>
    </w:p>
    <w:p w14:paraId="2B200C65" w14:textId="77777777" w:rsidR="00075296" w:rsidRPr="00075296" w:rsidRDefault="00075296" w:rsidP="00075296">
      <w:pPr>
        <w:spacing w:after="150" w:line="285" w:lineRule="atLeast"/>
        <w:rPr>
          <w:rFonts w:ascii="Arial" w:hAnsi="Arial" w:cs="Arial"/>
        </w:rPr>
      </w:pPr>
      <w:r w:rsidRPr="00075296">
        <w:rPr>
          <w:rFonts w:ascii="Arial" w:hAnsi="Arial" w:cs="Arial"/>
        </w:rPr>
        <w:lastRenderedPageBreak/>
        <w:t xml:space="preserve">State and federal law thus make crimes of many different activities involving drugs. Simple possession, giving, or even merely offering drugs is illegal, as are such offenses as the manufacture or sale of drugs. </w:t>
      </w:r>
    </w:p>
    <w:p w14:paraId="07883D7C" w14:textId="77777777" w:rsidR="00075296" w:rsidRPr="00075296" w:rsidRDefault="00075296" w:rsidP="00075296">
      <w:pPr>
        <w:spacing w:after="150" w:line="285" w:lineRule="atLeast"/>
        <w:rPr>
          <w:rFonts w:ascii="Arial" w:hAnsi="Arial" w:cs="Arial"/>
        </w:rPr>
      </w:pPr>
    </w:p>
    <w:p w14:paraId="10AB79C5" w14:textId="77777777" w:rsidR="00075296" w:rsidRPr="00075296" w:rsidRDefault="00075296" w:rsidP="00075296">
      <w:pPr>
        <w:spacing w:after="150" w:line="285" w:lineRule="atLeast"/>
        <w:rPr>
          <w:rFonts w:ascii="Arial" w:hAnsi="Arial" w:cs="Arial"/>
          <w:b/>
          <w:bCs/>
          <w:u w:val="single"/>
        </w:rPr>
      </w:pPr>
      <w:r w:rsidRPr="00075296">
        <w:rPr>
          <w:rFonts w:ascii="Arial" w:hAnsi="Arial" w:cs="Arial"/>
          <w:b/>
          <w:bCs/>
          <w:u w:val="single"/>
        </w:rPr>
        <w:t>ALCOHOL AND DRUG ABUSE</w:t>
      </w:r>
    </w:p>
    <w:p w14:paraId="1D6B2521"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Substance abuse and drug dependency are problems of staggering proportions in our society today. They are estimated to afflict millions of Americans. Millions more are affected by the actions of the substance abuser; these include the families of substance abusers, the victims of substance abuse-related crimes, and those injured or killed by intoxicated drivers or in drug-related accidents. </w:t>
      </w:r>
    </w:p>
    <w:p w14:paraId="327C1D0F" w14:textId="77777777" w:rsidR="00075296" w:rsidRPr="00075296" w:rsidRDefault="00075296" w:rsidP="00075296">
      <w:pPr>
        <w:spacing w:after="150" w:line="285" w:lineRule="atLeast"/>
        <w:rPr>
          <w:rFonts w:ascii="Arial" w:hAnsi="Arial" w:cs="Arial"/>
          <w:b/>
          <w:bCs/>
        </w:rPr>
      </w:pPr>
      <w:r w:rsidRPr="00075296">
        <w:rPr>
          <w:rFonts w:ascii="Arial" w:hAnsi="Arial" w:cs="Arial"/>
          <w:b/>
          <w:bCs/>
        </w:rPr>
        <w:t xml:space="preserve">Alcohol </w:t>
      </w:r>
    </w:p>
    <w:p w14:paraId="5E739985"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Alcohol is a powerful chemical. When taken in small amounts, it usually produces a pleasant sense of relaxation. In larger amounts, alcohol produces a variety of psychological and physiological changes which can place the person or those around him or her in danger. Alcohol abuse can be characterized by one of three different patterns: (1) regular drinking that affects one’s ability to function at his or her best, (2) drinking large amounts of alcohol at regular times (e.g., getting drunk most Fridays and Saturdays), or (3) periods of heavy daily drinking separated by extended periods of sobriety (i.e., binges). </w:t>
      </w:r>
    </w:p>
    <w:p w14:paraId="13D571B0"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Alcohol dependence, i.e., alcoholism, is a disorder that has profound psychological, biological, and societal effects. Alcoholism usually appears between the ages of 20 and 40, although onset prior to age 20 or after age 40 does occur. It is much more prevalent in people with a family history of alcoholism. The course of the disorder is usually progressive, with increasing effects on one’s work and social life and with the development of physical dependence. </w:t>
      </w:r>
    </w:p>
    <w:p w14:paraId="7E7735C4" w14:textId="0FD35E73" w:rsidR="00075296" w:rsidRPr="00075296" w:rsidRDefault="00075296" w:rsidP="00075296">
      <w:pPr>
        <w:spacing w:after="150" w:line="285" w:lineRule="atLeast"/>
        <w:rPr>
          <w:rFonts w:ascii="Arial" w:hAnsi="Arial" w:cs="Arial"/>
        </w:rPr>
      </w:pPr>
      <w:r w:rsidRPr="00075296">
        <w:rPr>
          <w:rFonts w:ascii="Arial" w:hAnsi="Arial" w:cs="Arial"/>
        </w:rPr>
        <w:t xml:space="preserve">Short-term effects of alcohol use can include transient problems with comprehension and memory, slowed motor responses, depression, sexual impotence, severe stomach and pancreas inflammation, coma, respiratory arrest, automobile accidents, and increased violence towards both strangers and one’s family and friends. Alcohol use during pregnancy can produce a characteristic group of severe defects in the child known as fetal alcohol syndrome. These defects include facial malformations, seizure disorders, and heart malformations. Chronic alcohol abuse can produce physical complications, including brain damage, liver damage, impotence and infertility, ulcers, and gastrointestinal bleeding. In addition, abrupt cessation of drinking can cause serious, sometimes even life-threatening problems including high blood pressure, seizures, and hallucinations. Death can occur as a result of coma and respiratory failure, impaired coordination and judgment (e.g., in a car accident or suicide attempt), one of the serious chronic medical complications, or severe withdrawal. </w:t>
      </w:r>
    </w:p>
    <w:p w14:paraId="3E568F52" w14:textId="77777777" w:rsidR="00075296" w:rsidRPr="00075296" w:rsidRDefault="00075296" w:rsidP="00075296">
      <w:pPr>
        <w:spacing w:after="150" w:line="285" w:lineRule="atLeast"/>
        <w:rPr>
          <w:rFonts w:ascii="Arial" w:hAnsi="Arial" w:cs="Arial"/>
        </w:rPr>
      </w:pPr>
    </w:p>
    <w:p w14:paraId="19C52504" w14:textId="77777777" w:rsidR="00040186" w:rsidRDefault="00040186" w:rsidP="00075296">
      <w:pPr>
        <w:spacing w:after="150" w:line="285" w:lineRule="atLeast"/>
        <w:rPr>
          <w:rFonts w:ascii="Arial" w:hAnsi="Arial" w:cs="Arial"/>
          <w:b/>
          <w:bCs/>
        </w:rPr>
      </w:pPr>
    </w:p>
    <w:p w14:paraId="3B29D755" w14:textId="77777777" w:rsidR="00075296" w:rsidRPr="00075296" w:rsidRDefault="00075296" w:rsidP="00075296">
      <w:pPr>
        <w:spacing w:after="150" w:line="285" w:lineRule="atLeast"/>
        <w:rPr>
          <w:rFonts w:ascii="Arial" w:hAnsi="Arial" w:cs="Arial"/>
          <w:b/>
          <w:bCs/>
        </w:rPr>
      </w:pPr>
      <w:r w:rsidRPr="00075296">
        <w:rPr>
          <w:rFonts w:ascii="Arial" w:hAnsi="Arial" w:cs="Arial"/>
          <w:b/>
          <w:bCs/>
        </w:rPr>
        <w:lastRenderedPageBreak/>
        <w:t xml:space="preserve">Marijuana (Cannabis) </w:t>
      </w:r>
    </w:p>
    <w:p w14:paraId="4F36994A" w14:textId="3D5399FC" w:rsidR="00075296" w:rsidRPr="00075296" w:rsidRDefault="00250056" w:rsidP="00075296">
      <w:pPr>
        <w:spacing w:after="150" w:line="285" w:lineRule="atLeast"/>
        <w:rPr>
          <w:rFonts w:ascii="Arial" w:hAnsi="Arial" w:cs="Arial"/>
        </w:rPr>
      </w:pPr>
      <w:r>
        <w:rPr>
          <w:rFonts w:ascii="Arial" w:hAnsi="Arial" w:cs="Arial"/>
        </w:rPr>
        <w:t>Cannabis</w:t>
      </w:r>
      <w:r w:rsidR="00075296" w:rsidRPr="00075296">
        <w:rPr>
          <w:rFonts w:ascii="Arial" w:hAnsi="Arial" w:cs="Arial"/>
        </w:rPr>
        <w:t xml:space="preserve"> is the </w:t>
      </w:r>
      <w:proofErr w:type="gramStart"/>
      <w:r w:rsidR="00075296" w:rsidRPr="00075296">
        <w:rPr>
          <w:rFonts w:ascii="Arial" w:hAnsi="Arial" w:cs="Arial"/>
        </w:rPr>
        <w:t>most commonly used</w:t>
      </w:r>
      <w:proofErr w:type="gramEnd"/>
      <w:r w:rsidR="00075296" w:rsidRPr="00075296">
        <w:rPr>
          <w:rFonts w:ascii="Arial" w:hAnsi="Arial" w:cs="Arial"/>
        </w:rPr>
        <w:t xml:space="preserve"> illegal drug in the United States. Though physiological consequences depend on frequency, duration, and quantity, </w:t>
      </w:r>
      <w:r>
        <w:rPr>
          <w:rFonts w:ascii="Arial" w:hAnsi="Arial" w:cs="Arial"/>
        </w:rPr>
        <w:t xml:space="preserve">cannabis </w:t>
      </w:r>
      <w:r w:rsidR="00075296" w:rsidRPr="00075296">
        <w:rPr>
          <w:rFonts w:ascii="Arial" w:hAnsi="Arial" w:cs="Arial"/>
        </w:rPr>
        <w:t xml:space="preserve">use is associated with impairment of short-term memory, concentration, judgment, perception, and fine motor skills. These impairments will increase the risk of machinery or motor vehicle accidents and injury. This risk continues for four to six hours after ingestion since the active chemical in </w:t>
      </w:r>
      <w:r>
        <w:rPr>
          <w:rFonts w:ascii="Arial" w:hAnsi="Arial" w:cs="Arial"/>
        </w:rPr>
        <w:t>cannabis</w:t>
      </w:r>
      <w:r w:rsidR="00075296" w:rsidRPr="00075296">
        <w:rPr>
          <w:rFonts w:ascii="Arial" w:hAnsi="Arial" w:cs="Arial"/>
        </w:rPr>
        <w:t xml:space="preserve"> (THC, tetrahydrocannabinol) remains stored in body fat cells long after ingestion. When there is frequent use, the above impairments may last for three to six months, even if use of the drug is completely discontinued. </w:t>
      </w:r>
    </w:p>
    <w:p w14:paraId="7CA39BAC" w14:textId="43A9FC5D" w:rsidR="00075296" w:rsidRDefault="00250056" w:rsidP="00075296">
      <w:pPr>
        <w:spacing w:after="150" w:line="285" w:lineRule="atLeast"/>
        <w:rPr>
          <w:rFonts w:ascii="Arial" w:hAnsi="Arial" w:cs="Arial"/>
        </w:rPr>
      </w:pPr>
      <w:r>
        <w:rPr>
          <w:rFonts w:ascii="Arial" w:hAnsi="Arial" w:cs="Arial"/>
        </w:rPr>
        <w:t>Cannabis</w:t>
      </w:r>
      <w:r w:rsidR="00075296" w:rsidRPr="00075296">
        <w:rPr>
          <w:rFonts w:ascii="Arial" w:hAnsi="Arial" w:cs="Arial"/>
        </w:rPr>
        <w:t xml:space="preserve"> can be associated with chronic anxiety, depression, and paranoid feelings. It can also significantly exacerbate or increase underlying emotional problems. Frequent use by children and adolescents may have long-term developmental consequences such as lack of motivation, apathy, and difficulty managing current stresses and responsibilities as well as making appropriate </w:t>
      </w:r>
      <w:proofErr w:type="gramStart"/>
      <w:r w:rsidR="00075296" w:rsidRPr="00075296">
        <w:rPr>
          <w:rFonts w:ascii="Arial" w:hAnsi="Arial" w:cs="Arial"/>
        </w:rPr>
        <w:t>plans for the future</w:t>
      </w:r>
      <w:proofErr w:type="gramEnd"/>
      <w:r w:rsidR="00075296" w:rsidRPr="00075296">
        <w:rPr>
          <w:rFonts w:ascii="Arial" w:hAnsi="Arial" w:cs="Arial"/>
        </w:rPr>
        <w:t xml:space="preserve">. </w:t>
      </w:r>
    </w:p>
    <w:p w14:paraId="2B9815FD" w14:textId="2B82124D" w:rsidR="00A414C5" w:rsidRPr="00CA129A" w:rsidRDefault="00A414C5" w:rsidP="00075296">
      <w:pPr>
        <w:spacing w:after="150" w:line="285" w:lineRule="atLeast"/>
        <w:rPr>
          <w:rFonts w:ascii="Arial" w:hAnsi="Arial" w:cs="Arial"/>
        </w:rPr>
      </w:pPr>
      <w:r w:rsidRPr="00CA129A">
        <w:rPr>
          <w:rFonts w:ascii="Arial" w:hAnsi="Arial" w:cs="Arial"/>
        </w:rPr>
        <w:t xml:space="preserve">Makers of designer drugs that are chemically </w:t>
      </w:r>
      <w:proofErr w:type="gramStart"/>
      <w:r w:rsidRPr="00CA129A">
        <w:rPr>
          <w:rFonts w:ascii="Arial" w:hAnsi="Arial" w:cs="Arial"/>
        </w:rPr>
        <w:t>similar to</w:t>
      </w:r>
      <w:proofErr w:type="gramEnd"/>
      <w:r w:rsidRPr="00CA129A">
        <w:rPr>
          <w:rFonts w:ascii="Arial" w:hAnsi="Arial" w:cs="Arial"/>
        </w:rPr>
        <w:t xml:space="preserve"> </w:t>
      </w:r>
      <w:r w:rsidR="00BB0524">
        <w:rPr>
          <w:rFonts w:ascii="Arial" w:hAnsi="Arial" w:cs="Arial"/>
        </w:rPr>
        <w:t>cannabis</w:t>
      </w:r>
      <w:r w:rsidRPr="00CA129A">
        <w:rPr>
          <w:rFonts w:ascii="Arial" w:hAnsi="Arial" w:cs="Arial"/>
        </w:rPr>
        <w:t xml:space="preserve">’ active ingredient THC—called synthetic cannabinoids or colloquially “synthetic marijuana” or “synthetic pot”—are constantly creating new products to evade legal bans on older compounds. Despite the similarity on the molecular level, these drugs are much more dangerous than </w:t>
      </w:r>
      <w:r w:rsidR="00BB0524">
        <w:rPr>
          <w:rFonts w:ascii="Arial" w:hAnsi="Arial" w:cs="Arial"/>
        </w:rPr>
        <w:t>cannabis</w:t>
      </w:r>
      <w:r w:rsidRPr="00CA129A">
        <w:rPr>
          <w:rFonts w:ascii="Arial" w:hAnsi="Arial" w:cs="Arial"/>
        </w:rPr>
        <w:t>, and have resulted in very serious health consequences including overdoses and aggressive or suicidal behavior in users.</w:t>
      </w:r>
    </w:p>
    <w:p w14:paraId="0490522C" w14:textId="77777777" w:rsidR="00CE5F45" w:rsidRDefault="00CE5F45" w:rsidP="00075296">
      <w:pPr>
        <w:spacing w:after="150" w:line="285" w:lineRule="atLeast"/>
        <w:rPr>
          <w:rFonts w:ascii="Arial" w:hAnsi="Arial" w:cs="Arial"/>
        </w:rPr>
      </w:pPr>
      <w:r w:rsidRPr="00CA129A">
        <w:rPr>
          <w:rFonts w:ascii="Arial" w:hAnsi="Arial" w:cs="Arial"/>
        </w:rPr>
        <w:t>AB-PINACA, AB-FUBINACA (sold as “Cloud 9,” “Relax,” or “Crown”</w:t>
      </w:r>
      <w:r w:rsidR="00C16E24">
        <w:rPr>
          <w:rFonts w:ascii="Arial" w:hAnsi="Arial" w:cs="Arial"/>
        </w:rPr>
        <w:t>) is</w:t>
      </w:r>
      <w:r w:rsidR="00C16E24" w:rsidRPr="00CA129A">
        <w:rPr>
          <w:rFonts w:ascii="Arial" w:hAnsi="Arial" w:cs="Arial"/>
        </w:rPr>
        <w:t xml:space="preserve"> a component of synthetic cannabis products</w:t>
      </w:r>
      <w:r w:rsidRPr="00CA129A">
        <w:rPr>
          <w:rFonts w:ascii="Arial" w:hAnsi="Arial" w:cs="Arial"/>
        </w:rPr>
        <w:t xml:space="preserve"> </w:t>
      </w:r>
      <w:r w:rsidR="00C16E24">
        <w:rPr>
          <w:rFonts w:ascii="Arial" w:hAnsi="Arial" w:cs="Arial"/>
        </w:rPr>
        <w:t xml:space="preserve">and </w:t>
      </w:r>
      <w:r w:rsidRPr="00CA129A">
        <w:rPr>
          <w:rFonts w:ascii="Arial" w:hAnsi="Arial" w:cs="Arial"/>
        </w:rPr>
        <w:t>is sold as a liquid in eyedropper bottles and often used with vaporizing devices—e-cigarettes or hookah pens.</w:t>
      </w:r>
      <w:r>
        <w:rPr>
          <w:rFonts w:ascii="Arial" w:hAnsi="Arial" w:cs="Arial"/>
        </w:rPr>
        <w:t xml:space="preserve">  Use of this drug reportedly causes </w:t>
      </w:r>
      <w:r w:rsidRPr="00CA129A">
        <w:rPr>
          <w:rFonts w:ascii="Arial" w:hAnsi="Arial" w:cs="Arial"/>
        </w:rPr>
        <w:t>hallucinations, aggressive behavior, racing heartbeat, drowsiness, and vomiting.</w:t>
      </w:r>
      <w:r w:rsidR="008E73B6">
        <w:rPr>
          <w:rStyle w:val="FootnoteReference"/>
          <w:rFonts w:ascii="Arial" w:hAnsi="Arial" w:cs="Arial"/>
        </w:rPr>
        <w:footnoteReference w:id="1"/>
      </w:r>
      <w:r>
        <w:rPr>
          <w:rFonts w:ascii="Arial" w:hAnsi="Arial" w:cs="Arial"/>
        </w:rPr>
        <w:t xml:space="preserve">  </w:t>
      </w:r>
    </w:p>
    <w:p w14:paraId="2FAD0B7F" w14:textId="77777777" w:rsidR="00F7796D" w:rsidRDefault="008E73B6" w:rsidP="00075296">
      <w:pPr>
        <w:spacing w:after="150" w:line="285" w:lineRule="atLeast"/>
        <w:rPr>
          <w:rFonts w:ascii="Arial" w:hAnsi="Arial" w:cs="Arial"/>
        </w:rPr>
      </w:pPr>
      <w:r>
        <w:rPr>
          <w:rFonts w:ascii="Arial" w:hAnsi="Arial" w:cs="Arial"/>
        </w:rPr>
        <w:t xml:space="preserve">“Spice” is a mix of herbs that produces experiences </w:t>
      </w:r>
      <w:proofErr w:type="gramStart"/>
      <w:r>
        <w:rPr>
          <w:rFonts w:ascii="Arial" w:hAnsi="Arial" w:cs="Arial"/>
        </w:rPr>
        <w:t>similar to</w:t>
      </w:r>
      <w:proofErr w:type="gramEnd"/>
      <w:r>
        <w:rPr>
          <w:rFonts w:ascii="Arial" w:hAnsi="Arial" w:cs="Arial"/>
        </w:rPr>
        <w:t xml:space="preserve"> marijuana.  Spice mixtures are sold under many names—K2, fake weed, Yucatan Fire, Skunk, Moon Rocks, </w:t>
      </w:r>
      <w:r w:rsidRPr="007F6408">
        <w:rPr>
          <w:rFonts w:ascii="Arial" w:hAnsi="Arial" w:cs="Arial"/>
        </w:rPr>
        <w:t xml:space="preserve">Mojo, Scooby </w:t>
      </w:r>
      <w:proofErr w:type="spellStart"/>
      <w:r w:rsidRPr="007F6408">
        <w:rPr>
          <w:rFonts w:ascii="Arial" w:hAnsi="Arial" w:cs="Arial"/>
        </w:rPr>
        <w:t>Snax</w:t>
      </w:r>
      <w:proofErr w:type="spellEnd"/>
      <w:r>
        <w:t xml:space="preserve"> </w:t>
      </w:r>
      <w:r>
        <w:rPr>
          <w:rFonts w:ascii="Arial" w:hAnsi="Arial" w:cs="Arial"/>
        </w:rPr>
        <w:t>and others.  These are</w:t>
      </w:r>
      <w:r w:rsidRPr="007F6408">
        <w:rPr>
          <w:rFonts w:ascii="Arial" w:hAnsi="Arial" w:cs="Arial"/>
        </w:rPr>
        <w:t xml:space="preserve"> reported to cause severe agitation, anxiety, and paranoia; raised heartbeat and blood pressure; nausea and vomiting; muscle spasms, seizures, and tremors; intense hallucinations and psychotic episodes, including suicidal fixations and other harmful thoughts.</w:t>
      </w:r>
      <w:r w:rsidR="00F7796D">
        <w:rPr>
          <w:rFonts w:ascii="Arial" w:hAnsi="Arial" w:cs="Arial"/>
        </w:rPr>
        <w:t xml:space="preserve">  </w:t>
      </w:r>
    </w:p>
    <w:p w14:paraId="1C9ED2BE" w14:textId="3966A7C8" w:rsidR="00AF05D6" w:rsidRPr="00DF5011" w:rsidRDefault="00BB0524" w:rsidP="00DF5011">
      <w:pPr>
        <w:pStyle w:val="NormalWeb"/>
        <w:rPr>
          <w:rFonts w:ascii="Arial" w:hAnsi="Arial" w:cs="Arial"/>
        </w:rPr>
      </w:pPr>
      <w:r>
        <w:rPr>
          <w:rFonts w:ascii="Arial" w:hAnsi="Arial" w:cs="Arial"/>
        </w:rPr>
        <w:t xml:space="preserve">Cannabis </w:t>
      </w:r>
      <w:r w:rsidR="00CE42A4">
        <w:rPr>
          <w:rFonts w:ascii="Arial" w:hAnsi="Arial" w:cs="Arial"/>
        </w:rPr>
        <w:t xml:space="preserve">oil: </w:t>
      </w:r>
      <w:r w:rsidR="003440DE" w:rsidRPr="00DF5011">
        <w:rPr>
          <w:rFonts w:ascii="Arial" w:hAnsi="Arial" w:cs="Arial"/>
        </w:rPr>
        <w:t xml:space="preserve">Cannabis oil is a thick, sticky, </w:t>
      </w:r>
      <w:hyperlink r:id="rId12" w:history="1">
        <w:r w:rsidR="003440DE" w:rsidRPr="00DF5011">
          <w:rPr>
            <w:rFonts w:ascii="Arial" w:hAnsi="Arial" w:cs="Arial"/>
          </w:rPr>
          <w:t>resinous</w:t>
        </w:r>
      </w:hyperlink>
      <w:r w:rsidR="003440DE" w:rsidRPr="00DF5011">
        <w:rPr>
          <w:rFonts w:ascii="Arial" w:hAnsi="Arial" w:cs="Arial"/>
        </w:rPr>
        <w:t> substance made up of </w:t>
      </w:r>
      <w:hyperlink r:id="rId13" w:history="1">
        <w:r w:rsidR="003440DE" w:rsidRPr="00DF5011">
          <w:rPr>
            <w:rFonts w:ascii="Arial" w:hAnsi="Arial" w:cs="Arial"/>
          </w:rPr>
          <w:t>cannabinoids</w:t>
        </w:r>
      </w:hyperlink>
      <w:r w:rsidR="003440DE" w:rsidRPr="00DF5011">
        <w:rPr>
          <w:rFonts w:ascii="Arial" w:hAnsi="Arial" w:cs="Arial"/>
        </w:rPr>
        <w:t xml:space="preserve">, such as THC and </w:t>
      </w:r>
      <w:r w:rsidR="00DF5011" w:rsidRPr="00DF5011">
        <w:rPr>
          <w:rFonts w:ascii="Arial" w:hAnsi="Arial" w:cs="Arial"/>
        </w:rPr>
        <w:t>CBD, which</w:t>
      </w:r>
      <w:r w:rsidR="003440DE" w:rsidRPr="00DF5011">
        <w:rPr>
          <w:rFonts w:ascii="Arial" w:hAnsi="Arial" w:cs="Arial"/>
        </w:rPr>
        <w:t xml:space="preserve"> is extracted from the cannabis plant</w:t>
      </w:r>
      <w:r w:rsidR="003440DE">
        <w:rPr>
          <w:rFonts w:ascii="Arial" w:hAnsi="Arial" w:cs="Arial"/>
        </w:rPr>
        <w:t>.</w:t>
      </w:r>
      <w:r w:rsidR="00AF05D6">
        <w:rPr>
          <w:rFonts w:ascii="Arial" w:hAnsi="Arial" w:cs="Arial"/>
        </w:rPr>
        <w:t xml:space="preserve">  </w:t>
      </w:r>
      <w:r w:rsidR="00CE42A4">
        <w:rPr>
          <w:rFonts w:ascii="Arial" w:hAnsi="Arial" w:cs="Arial"/>
        </w:rPr>
        <w:t xml:space="preserve"> </w:t>
      </w:r>
      <w:r w:rsidR="00AF05D6" w:rsidRPr="00DF5011">
        <w:rPr>
          <w:rFonts w:ascii="Arial" w:hAnsi="Arial" w:cs="Arial"/>
        </w:rPr>
        <w:t xml:space="preserve">THC’s are the chemical responsible for a range of effects on the brain. These include heightened awareness of sounds and </w:t>
      </w:r>
      <w:r w:rsidR="003A3788" w:rsidRPr="00DF5011">
        <w:rPr>
          <w:rFonts w:ascii="Arial" w:hAnsi="Arial" w:cs="Arial"/>
        </w:rPr>
        <w:t>colors</w:t>
      </w:r>
      <w:r w:rsidR="00AF05D6" w:rsidRPr="00DF5011">
        <w:rPr>
          <w:rFonts w:ascii="Arial" w:hAnsi="Arial" w:cs="Arial"/>
        </w:rPr>
        <w:t xml:space="preserve"> and euphoria (or ‘high’), or a pleasant drowsy feeling (or ‘stoned’). </w:t>
      </w:r>
      <w:r w:rsidR="00AF05D6">
        <w:rPr>
          <w:rFonts w:ascii="Arial" w:hAnsi="Arial" w:cs="Arial"/>
        </w:rPr>
        <w:t xml:space="preserve"> </w:t>
      </w:r>
    </w:p>
    <w:p w14:paraId="14078111" w14:textId="7261C66A" w:rsidR="00045EE4" w:rsidRPr="00CA129A" w:rsidRDefault="00A414C5" w:rsidP="00075296">
      <w:pPr>
        <w:spacing w:after="150" w:line="285" w:lineRule="atLeast"/>
        <w:rPr>
          <w:rFonts w:ascii="Arial" w:hAnsi="Arial" w:cs="Arial"/>
          <w:sz w:val="96"/>
          <w:szCs w:val="96"/>
        </w:rPr>
      </w:pPr>
      <w:r>
        <w:rPr>
          <w:rFonts w:ascii="Arial" w:hAnsi="Arial" w:cs="Arial"/>
        </w:rPr>
        <w:lastRenderedPageBreak/>
        <w:t>M</w:t>
      </w:r>
      <w:r w:rsidR="00045EE4">
        <w:rPr>
          <w:rFonts w:ascii="Arial" w:hAnsi="Arial" w:cs="Arial"/>
        </w:rPr>
        <w:t xml:space="preserve">edical </w:t>
      </w:r>
      <w:r w:rsidR="00BB0524">
        <w:rPr>
          <w:rFonts w:ascii="Arial" w:hAnsi="Arial" w:cs="Arial"/>
        </w:rPr>
        <w:t>cannabis</w:t>
      </w:r>
      <w:r w:rsidR="00045EE4">
        <w:rPr>
          <w:rFonts w:ascii="Arial" w:hAnsi="Arial" w:cs="Arial"/>
        </w:rPr>
        <w:t xml:space="preserve">:  </w:t>
      </w:r>
      <w:r w:rsidR="008667D1" w:rsidRPr="00CA129A">
        <w:rPr>
          <w:rFonts w:ascii="Arial" w:hAnsi="Arial" w:cs="Arial"/>
        </w:rPr>
        <w:t xml:space="preserve">Proponents of medical </w:t>
      </w:r>
      <w:r w:rsidR="00BB0524">
        <w:rPr>
          <w:rFonts w:ascii="Arial" w:hAnsi="Arial" w:cs="Arial"/>
        </w:rPr>
        <w:t>cannabis</w:t>
      </w:r>
      <w:r w:rsidR="008667D1" w:rsidRPr="00CA129A">
        <w:rPr>
          <w:rFonts w:ascii="Arial" w:hAnsi="Arial" w:cs="Arial"/>
        </w:rPr>
        <w:t xml:space="preserve"> argue that it can be a safe and effective treatment for the symptoms of cancer, AIDS, multiple sclerosis, pain, glaucoma, epilepsy, and other conditions. </w:t>
      </w:r>
      <w:r w:rsidR="006B5F75">
        <w:rPr>
          <w:rFonts w:ascii="Arial" w:hAnsi="Arial" w:cs="Arial"/>
        </w:rPr>
        <w:t xml:space="preserve"> </w:t>
      </w:r>
      <w:r w:rsidR="008667D1" w:rsidRPr="00CA129A">
        <w:rPr>
          <w:rFonts w:ascii="Arial" w:hAnsi="Arial" w:cs="Arial"/>
        </w:rPr>
        <w:t xml:space="preserve">Opponents of medical marijuana argue that it is too dangerous to use, lacks FDA-approval, and that various legal drugs make marijuana use unnecessary. They say </w:t>
      </w:r>
      <w:r w:rsidR="00BB0524">
        <w:rPr>
          <w:rFonts w:ascii="Arial" w:hAnsi="Arial" w:cs="Arial"/>
        </w:rPr>
        <w:t>cannabis</w:t>
      </w:r>
      <w:r w:rsidR="008667D1" w:rsidRPr="00CA129A">
        <w:rPr>
          <w:rFonts w:ascii="Arial" w:hAnsi="Arial" w:cs="Arial"/>
        </w:rPr>
        <w:t xml:space="preserve"> is addictive, leads to harder drug use, interferes with fertility, impairs driving ability, and injures the lungs, immune system, and brain.</w:t>
      </w:r>
      <w:r w:rsidR="00CA433E">
        <w:rPr>
          <w:rStyle w:val="FootnoteReference"/>
          <w:rFonts w:ascii="Arial" w:hAnsi="Arial" w:cs="Arial"/>
        </w:rPr>
        <w:footnoteReference w:id="2"/>
      </w:r>
      <w:r w:rsidR="00045EE4">
        <w:rPr>
          <w:rFonts w:ascii="Arial" w:hAnsi="Arial" w:cs="Arial"/>
        </w:rPr>
        <w:t xml:space="preserve">  </w:t>
      </w:r>
      <w:r w:rsidR="00045EE4" w:rsidRPr="00CA129A">
        <w:rPr>
          <w:rFonts w:ascii="Arial" w:hAnsi="Arial" w:cs="Arial"/>
        </w:rPr>
        <w:t xml:space="preserve">Medical </w:t>
      </w:r>
      <w:r w:rsidR="00BB0524">
        <w:rPr>
          <w:rFonts w:ascii="Arial" w:hAnsi="Arial" w:cs="Arial"/>
        </w:rPr>
        <w:t>cannabis</w:t>
      </w:r>
      <w:r w:rsidR="00045EE4" w:rsidRPr="00CA129A">
        <w:rPr>
          <w:rFonts w:ascii="Arial" w:hAnsi="Arial" w:cs="Arial"/>
        </w:rPr>
        <w:t xml:space="preserve"> is legal in Connecticut however, it is not legal to possess or use medical</w:t>
      </w:r>
      <w:r w:rsidR="00BB0524">
        <w:rPr>
          <w:rFonts w:ascii="Arial" w:hAnsi="Arial" w:cs="Arial"/>
        </w:rPr>
        <w:t xml:space="preserve"> cannabis</w:t>
      </w:r>
      <w:r w:rsidR="00045EE4" w:rsidRPr="00CA129A">
        <w:rPr>
          <w:rFonts w:ascii="Arial" w:hAnsi="Arial" w:cs="Arial"/>
        </w:rPr>
        <w:t xml:space="preserve"> on the U</w:t>
      </w:r>
      <w:r w:rsidR="00CB4EB4">
        <w:rPr>
          <w:rFonts w:ascii="Arial" w:hAnsi="Arial" w:cs="Arial"/>
        </w:rPr>
        <w:t>niversity of New Haven</w:t>
      </w:r>
      <w:r w:rsidR="00045EE4" w:rsidRPr="00CA129A">
        <w:rPr>
          <w:rFonts w:ascii="Arial" w:hAnsi="Arial" w:cs="Arial"/>
        </w:rPr>
        <w:t xml:space="preserve"> campus</w:t>
      </w:r>
      <w:r w:rsidR="00C16E24">
        <w:rPr>
          <w:rFonts w:ascii="Arial" w:hAnsi="Arial" w:cs="Arial"/>
        </w:rPr>
        <w:t>es</w:t>
      </w:r>
      <w:r w:rsidR="00045EE4" w:rsidRPr="00CA129A">
        <w:rPr>
          <w:rFonts w:ascii="Arial" w:hAnsi="Arial" w:cs="Arial"/>
        </w:rPr>
        <w:t>.</w:t>
      </w:r>
      <w:r w:rsidR="00C16E24">
        <w:rPr>
          <w:rFonts w:ascii="Arial" w:hAnsi="Arial" w:cs="Arial"/>
        </w:rPr>
        <w:t xml:space="preserve"> </w:t>
      </w:r>
    </w:p>
    <w:p w14:paraId="7EEF2BEF" w14:textId="77777777" w:rsidR="00075296" w:rsidRPr="00075296" w:rsidRDefault="00075296" w:rsidP="00075296">
      <w:pPr>
        <w:spacing w:after="150" w:line="285" w:lineRule="atLeast"/>
        <w:rPr>
          <w:rFonts w:ascii="Arial" w:hAnsi="Arial" w:cs="Arial"/>
          <w:b/>
          <w:bCs/>
        </w:rPr>
      </w:pPr>
      <w:r w:rsidRPr="00075296">
        <w:rPr>
          <w:rFonts w:ascii="Arial" w:hAnsi="Arial" w:cs="Arial"/>
          <w:b/>
          <w:bCs/>
        </w:rPr>
        <w:t xml:space="preserve">Hallucinogens </w:t>
      </w:r>
    </w:p>
    <w:p w14:paraId="387569F5"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This category includes LSD (lysergic acid diethylamide, also known as “acid”), mescaline, peyote, and ‘’mushrooms.’’ The short-term use of these drugs produces illusions, hallucinations, altered sense of time and space, impaired visual perceptions, and disorientation. These effects lead to impaired judgment and may result in dangerous behavior. Hallucinogen use may also lead to a “bad trip” with anxiety, agitation, hallucinations, and paranoia which results in self-endangering behavior. After a “bad trip,” the person can experience a “flashback.” Flashbacks are recurrences of the experience without taking the drug, and they may recur months and years after the hallucinogen was last taken. Long-term use of hallucinogens may lead to impaired thinking and sometimes precipitate psychosis. </w:t>
      </w:r>
    </w:p>
    <w:p w14:paraId="0B6EB8D8" w14:textId="77777777" w:rsidR="00075296" w:rsidRDefault="00075296" w:rsidP="00075296">
      <w:pPr>
        <w:spacing w:after="150" w:line="285" w:lineRule="atLeast"/>
        <w:rPr>
          <w:rFonts w:ascii="Arial" w:hAnsi="Arial" w:cs="Arial"/>
        </w:rPr>
      </w:pPr>
      <w:r w:rsidRPr="00075296">
        <w:rPr>
          <w:rFonts w:ascii="Arial" w:hAnsi="Arial" w:cs="Arial"/>
        </w:rPr>
        <w:t>PCP (phencyclidine) or “angel dust” may induce violent or destructive behavior which may involve impaired judgment leading to injury to the person who has taken the drug or to other people. Dangerous side effect</w:t>
      </w:r>
      <w:r w:rsidR="00CB4EB4">
        <w:rPr>
          <w:rFonts w:ascii="Arial" w:hAnsi="Arial" w:cs="Arial"/>
        </w:rPr>
        <w:t>s</w:t>
      </w:r>
      <w:r w:rsidRPr="00075296">
        <w:rPr>
          <w:rFonts w:ascii="Arial" w:hAnsi="Arial" w:cs="Arial"/>
        </w:rPr>
        <w:t xml:space="preserve"> of PCP are that it also causes amnesia of the intoxicating behavior (up to several hours), </w:t>
      </w:r>
      <w:proofErr w:type="gramStart"/>
      <w:r w:rsidRPr="00075296">
        <w:rPr>
          <w:rFonts w:ascii="Arial" w:hAnsi="Arial" w:cs="Arial"/>
        </w:rPr>
        <w:t>and also</w:t>
      </w:r>
      <w:proofErr w:type="gramEnd"/>
      <w:r w:rsidRPr="00075296">
        <w:rPr>
          <w:rFonts w:ascii="Arial" w:hAnsi="Arial" w:cs="Arial"/>
        </w:rPr>
        <w:t xml:space="preserve"> raises blood pressure, which may become a medical emergency. </w:t>
      </w:r>
    </w:p>
    <w:p w14:paraId="31B5EBF8" w14:textId="77777777" w:rsidR="00FF2678" w:rsidRPr="00CA129A" w:rsidRDefault="00FF2678" w:rsidP="00FF2678">
      <w:pPr>
        <w:pStyle w:val="NormalWeb"/>
        <w:rPr>
          <w:rFonts w:ascii="Arial" w:eastAsiaTheme="minorHAnsi" w:hAnsi="Arial" w:cs="Arial"/>
        </w:rPr>
      </w:pPr>
      <w:r w:rsidRPr="00CA129A">
        <w:rPr>
          <w:rFonts w:ascii="Arial" w:eastAsiaTheme="minorHAnsi" w:hAnsi="Arial" w:cs="Arial"/>
        </w:rPr>
        <w:t>“N-bomb” refers to any of three closely related synthetic hallucinogens (25I-NBOMe, 25C-NBOMe, and 25B-NBOMe) that are being sold as substitutes for LSD or mescaline. Also called “legal acid,” “smiles,” or “25I,” they are generally found as powders, liquids, soaked into blotter paper (like LSD) or laced on something edible.</w:t>
      </w:r>
      <w:r>
        <w:rPr>
          <w:rFonts w:ascii="Arial" w:eastAsiaTheme="minorHAnsi" w:hAnsi="Arial" w:cs="Arial"/>
        </w:rPr>
        <w:t xml:space="preserve"> </w:t>
      </w:r>
      <w:r w:rsidRPr="00CA129A">
        <w:rPr>
          <w:rFonts w:ascii="Arial" w:eastAsiaTheme="minorHAnsi" w:hAnsi="Arial" w:cs="Arial"/>
        </w:rPr>
        <w:t>These chemicals act on serotonin receptors in the brain, like other hallucinogens, but they are considerably more powerful even than LSD. Extremely small amounts can cause seizures, heart attack or arrested breathing, and death.</w:t>
      </w:r>
      <w:r w:rsidR="008E73B6">
        <w:rPr>
          <w:rStyle w:val="FootnoteReference"/>
          <w:rFonts w:ascii="Arial" w:eastAsiaTheme="minorHAnsi" w:hAnsi="Arial" w:cs="Arial"/>
        </w:rPr>
        <w:footnoteReference w:id="3"/>
      </w:r>
    </w:p>
    <w:p w14:paraId="2B2A5718" w14:textId="77777777" w:rsidR="00075296" w:rsidRPr="00075296" w:rsidRDefault="00075296" w:rsidP="00075296">
      <w:pPr>
        <w:spacing w:after="150" w:line="285" w:lineRule="atLeast"/>
        <w:rPr>
          <w:rFonts w:ascii="Arial" w:hAnsi="Arial" w:cs="Arial"/>
          <w:b/>
          <w:bCs/>
        </w:rPr>
      </w:pPr>
      <w:r w:rsidRPr="00075296">
        <w:rPr>
          <w:rFonts w:ascii="Arial" w:hAnsi="Arial" w:cs="Arial"/>
          <w:b/>
          <w:bCs/>
        </w:rPr>
        <w:t xml:space="preserve">Cocaine </w:t>
      </w:r>
    </w:p>
    <w:p w14:paraId="125C10EF"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Cocaine is a highly addictive, illegal, stimulant drug. Other names for it are Coke, C., Lady, and Snow. (Speed balls are cocaine mixed with heroin, which is a particularly dangerous combination.) Cocaine is a white powder that is snorted, injected into veins, or smoked freebase or as “crack.” Crack is a crystalline form of cocaine that is also known as “rock” from its small white rocklike appearance. Crack produces the most </w:t>
      </w:r>
      <w:r w:rsidRPr="00075296">
        <w:rPr>
          <w:rFonts w:ascii="Arial" w:hAnsi="Arial" w:cs="Arial"/>
        </w:rPr>
        <w:lastRenderedPageBreak/>
        <w:t xml:space="preserve">intense cocaine high, and addiction can occur after using it only once or twice. Cocaine “highs” are characterized by feelings of extreme happiness, a sense of limitless power and energy. A cocaine “crash” follows the “high” and includes symptoms of depression, dullness, great irritability, and paranoia. Serious medical complications occur with cocaine use, such as heart attacks (even in young people), seizures, and strokes due to high blood pressure. The psychological effects of cocaine use include violence and paranoia, depression, anxiety, confusion, and personality changes. </w:t>
      </w:r>
    </w:p>
    <w:p w14:paraId="710252CC"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Extensive use of cocaine may lead to chronic depression. Pregnant women using cocaine have increased risk of miscarriages and stillbirths. Newborns addicted to cocaine are irritable and unresponsive and may have malformed kidneys and genitals, as well as heart attacks and strokes. Cocaine addiction can occur in people of all ages, classes, and educational levels. The addiction often controls and may destroy many aspects of the user’s life and the lives of those people close to the user. </w:t>
      </w:r>
    </w:p>
    <w:p w14:paraId="012F623C" w14:textId="77777777" w:rsidR="00075296" w:rsidRPr="00075296" w:rsidRDefault="00075296" w:rsidP="00075296">
      <w:pPr>
        <w:spacing w:after="150" w:line="285" w:lineRule="atLeast"/>
        <w:rPr>
          <w:rFonts w:ascii="Arial" w:hAnsi="Arial" w:cs="Arial"/>
        </w:rPr>
      </w:pPr>
    </w:p>
    <w:p w14:paraId="11D850AC" w14:textId="77777777" w:rsidR="00075296" w:rsidRPr="00075296" w:rsidRDefault="00075296" w:rsidP="00075296">
      <w:pPr>
        <w:spacing w:after="150" w:line="285" w:lineRule="atLeast"/>
        <w:rPr>
          <w:rFonts w:ascii="Arial" w:hAnsi="Arial" w:cs="Arial"/>
          <w:b/>
          <w:bCs/>
        </w:rPr>
      </w:pPr>
      <w:r w:rsidRPr="00075296">
        <w:rPr>
          <w:rFonts w:ascii="Arial" w:hAnsi="Arial" w:cs="Arial"/>
          <w:b/>
          <w:bCs/>
        </w:rPr>
        <w:t xml:space="preserve">Amphetamines </w:t>
      </w:r>
    </w:p>
    <w:p w14:paraId="329B84CB" w14:textId="77777777" w:rsidR="00075296" w:rsidRDefault="00075296" w:rsidP="00075296">
      <w:pPr>
        <w:spacing w:after="150" w:line="285" w:lineRule="atLeast"/>
        <w:rPr>
          <w:rFonts w:ascii="Arial" w:hAnsi="Arial" w:cs="Arial"/>
        </w:rPr>
      </w:pPr>
      <w:r w:rsidRPr="00075296">
        <w:rPr>
          <w:rFonts w:ascii="Arial" w:hAnsi="Arial" w:cs="Arial"/>
        </w:rPr>
        <w:t xml:space="preserve">In addition to cocaine, amphetamines are drugs that also stimulate the nervous system and are very addictive. Drugs in this group include </w:t>
      </w:r>
      <w:proofErr w:type="spellStart"/>
      <w:r w:rsidRPr="00075296">
        <w:rPr>
          <w:rFonts w:ascii="Arial" w:hAnsi="Arial" w:cs="Arial"/>
        </w:rPr>
        <w:t>benzedrine</w:t>
      </w:r>
      <w:proofErr w:type="spellEnd"/>
      <w:r w:rsidRPr="00075296">
        <w:rPr>
          <w:rFonts w:ascii="Arial" w:hAnsi="Arial" w:cs="Arial"/>
        </w:rPr>
        <w:t xml:space="preserve">, </w:t>
      </w:r>
      <w:proofErr w:type="spellStart"/>
      <w:r w:rsidRPr="00075296">
        <w:rPr>
          <w:rFonts w:ascii="Arial" w:hAnsi="Arial" w:cs="Arial"/>
        </w:rPr>
        <w:t>dexedrine</w:t>
      </w:r>
      <w:proofErr w:type="spellEnd"/>
      <w:r w:rsidRPr="00075296">
        <w:rPr>
          <w:rFonts w:ascii="Arial" w:hAnsi="Arial" w:cs="Arial"/>
        </w:rPr>
        <w:t xml:space="preserve">, and methedrine (“speed”). “Ice” is a smokable form of methedrine. “Ecstasy” (MDMA, methylenedioxymethamphetamine) is an amphetamine variant that produces alterations in visual perception and is sometimes experienced as a hallucinogen as well as a stimulant. Amphetamines give a person increased energy, increased alertness, and a feeling of exhilaration. When amphetamines are abused, adverse effects such as restlessness, nervousness, tremors, loss of appetite, and insomnia are common. Paranoia and psychosis may be precipitated by amphetamine abuse. Tolerance to the euphoric effect of amphetamines may occur which may lead the person to take larger amounts of the drug, which in turn may lead to more paranoia and agitation. This state may also be associated with violence and loss of self-control. If the amphetamines are stopped suddenly, withdrawal symptoms (cramps, sweating, headaches, lethargy, and severe depression) may occur. </w:t>
      </w:r>
    </w:p>
    <w:p w14:paraId="13422878" w14:textId="77777777" w:rsidR="00FF2678" w:rsidRDefault="00FF2678" w:rsidP="00075296">
      <w:pPr>
        <w:spacing w:after="150" w:line="285" w:lineRule="atLeast"/>
        <w:rPr>
          <w:rFonts w:ascii="Arial" w:hAnsi="Arial" w:cs="Arial"/>
        </w:rPr>
      </w:pPr>
      <w:r w:rsidRPr="00CA129A">
        <w:rPr>
          <w:rFonts w:ascii="Arial" w:hAnsi="Arial" w:cs="Arial"/>
        </w:rPr>
        <w:t xml:space="preserve">Molly—slang for “molecular”—refers to the pure crystalline powder form of the club drug </w:t>
      </w:r>
      <w:hyperlink r:id="rId14" w:history="1">
        <w:r w:rsidRPr="00CA129A">
          <w:rPr>
            <w:rFonts w:ascii="Arial" w:hAnsi="Arial" w:cs="Arial"/>
          </w:rPr>
          <w:t>MDMA</w:t>
        </w:r>
      </w:hyperlink>
      <w:r w:rsidRPr="00CA129A">
        <w:rPr>
          <w:rFonts w:ascii="Arial" w:hAnsi="Arial" w:cs="Arial"/>
        </w:rPr>
        <w:t xml:space="preserve">, which in pill form is known as </w:t>
      </w:r>
      <w:r w:rsidR="001F0D3A">
        <w:rPr>
          <w:rFonts w:ascii="Arial" w:hAnsi="Arial" w:cs="Arial"/>
        </w:rPr>
        <w:t>E</w:t>
      </w:r>
      <w:r w:rsidRPr="00CA129A">
        <w:rPr>
          <w:rFonts w:ascii="Arial" w:hAnsi="Arial" w:cs="Arial"/>
        </w:rPr>
        <w:t>cstasy. Molly, which is usually purchased in capsules, has seen a surge in interest in the past few years. MDMA in any form produces energy and euphoria in users but also may dangerously affect body temperature and cause confusion, depression, and sleep problems.</w:t>
      </w:r>
      <w:r w:rsidR="00CA433E">
        <w:rPr>
          <w:rStyle w:val="FootnoteReference"/>
          <w:rFonts w:ascii="Arial" w:hAnsi="Arial" w:cs="Arial"/>
        </w:rPr>
        <w:footnoteReference w:id="4"/>
      </w:r>
    </w:p>
    <w:p w14:paraId="6C172EB6" w14:textId="77777777" w:rsidR="00BA1694" w:rsidRDefault="00BA1694" w:rsidP="00075296">
      <w:pPr>
        <w:spacing w:after="150" w:line="285" w:lineRule="atLeast"/>
        <w:rPr>
          <w:rFonts w:ascii="Arial" w:hAnsi="Arial" w:cs="Arial"/>
        </w:rPr>
      </w:pPr>
      <w:r>
        <w:rPr>
          <w:rFonts w:ascii="Arial" w:hAnsi="Arial" w:cs="Arial"/>
        </w:rPr>
        <w:t>Bath salts are a new family of drugs containing one or more manmade chemicals related to cathinone, an amphetamine-like stimulant found naturally in the khat plant.  There have been reports of severe intoxication and dangerous health effects from using bath salts.  Some people who abuse bath salts experience paranoia, agitation, and hallucinations; some even lose contact with reality and act violently.</w:t>
      </w:r>
    </w:p>
    <w:p w14:paraId="5067FDA1" w14:textId="77777777" w:rsidR="00A81498" w:rsidRDefault="00A81498" w:rsidP="00A81498">
      <w:r w:rsidRPr="00242565">
        <w:rPr>
          <w:rFonts w:ascii="Arial" w:hAnsi="Arial" w:cs="Arial"/>
        </w:rPr>
        <w:lastRenderedPageBreak/>
        <w:t>“Flakka” – (Alpha-PVP) is chemically similar to other synthetic cathinone drugs popularly called "bath salts," and takes the form of a white or pink, foul-smelling crystal that can be eaten, snorted, injected, or vaporized in an e-cigarette or similar device. Vaporizing, which sends the drug very quickly into the bloodstream, may make it particularly easy to overdose. Like other drugs of this type, alpha-PVP can cause a condition called "excited delirium" that involves hyperstimulation, paranoia, and hallucinations that can lead to violent aggression and self-injury. The drug has been linked to deaths by suicide as well as heart attack. It can also dangerously raise body temperature and lead to kidney damage or kidney failure.</w:t>
      </w:r>
      <w:r w:rsidR="00767E8A">
        <w:rPr>
          <w:rStyle w:val="FootnoteReference"/>
          <w:rFonts w:ascii="Arial" w:hAnsi="Arial" w:cs="Arial"/>
        </w:rPr>
        <w:footnoteReference w:id="5"/>
      </w:r>
    </w:p>
    <w:p w14:paraId="4079F54F" w14:textId="77777777" w:rsidR="00A81498" w:rsidRPr="00075296" w:rsidRDefault="00A81498" w:rsidP="00075296">
      <w:pPr>
        <w:spacing w:after="150" w:line="285" w:lineRule="atLeast"/>
        <w:rPr>
          <w:rFonts w:ascii="Arial" w:hAnsi="Arial" w:cs="Arial"/>
        </w:rPr>
      </w:pPr>
    </w:p>
    <w:p w14:paraId="21C4C027" w14:textId="77777777" w:rsidR="00075296" w:rsidRPr="00075296" w:rsidRDefault="00075296" w:rsidP="00075296">
      <w:pPr>
        <w:spacing w:after="150" w:line="285" w:lineRule="atLeast"/>
        <w:rPr>
          <w:rFonts w:ascii="Arial" w:hAnsi="Arial" w:cs="Arial"/>
          <w:b/>
          <w:bCs/>
        </w:rPr>
      </w:pPr>
      <w:r w:rsidRPr="00075296">
        <w:rPr>
          <w:rFonts w:ascii="Arial" w:hAnsi="Arial" w:cs="Arial"/>
          <w:b/>
          <w:bCs/>
        </w:rPr>
        <w:t xml:space="preserve">Narcotics </w:t>
      </w:r>
    </w:p>
    <w:p w14:paraId="140C5397"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There are a variety of medications that are taken to relieve pain. Most non-prescription pain relievers (such as aspirin, Tylenol, Motrin, and </w:t>
      </w:r>
      <w:proofErr w:type="spellStart"/>
      <w:r w:rsidRPr="00075296">
        <w:rPr>
          <w:rFonts w:ascii="Arial" w:hAnsi="Arial" w:cs="Arial"/>
        </w:rPr>
        <w:t>Nuprin</w:t>
      </w:r>
      <w:proofErr w:type="spellEnd"/>
      <w:r w:rsidRPr="00075296">
        <w:rPr>
          <w:rFonts w:ascii="Arial" w:hAnsi="Arial" w:cs="Arial"/>
        </w:rPr>
        <w:t xml:space="preserve">) are not considered addictive. However, there is a class of stronger pain relievers, available only by a doctor’s prescription that can be addictive. These are referred to as narcotics and/or </w:t>
      </w:r>
      <w:r w:rsidR="00BA1694" w:rsidRPr="00075296">
        <w:rPr>
          <w:rFonts w:ascii="Arial" w:hAnsi="Arial" w:cs="Arial"/>
        </w:rPr>
        <w:t>opioid</w:t>
      </w:r>
      <w:r w:rsidRPr="00075296">
        <w:rPr>
          <w:rFonts w:ascii="Arial" w:hAnsi="Arial" w:cs="Arial"/>
        </w:rPr>
        <w:t xml:space="preserve"> drugs, most of which are derived from opium. Examples of these drugs include </w:t>
      </w:r>
      <w:r w:rsidR="00BA1694">
        <w:rPr>
          <w:rFonts w:ascii="Arial" w:hAnsi="Arial" w:cs="Arial"/>
        </w:rPr>
        <w:t xml:space="preserve">methadone, </w:t>
      </w:r>
      <w:r w:rsidRPr="00075296">
        <w:rPr>
          <w:rFonts w:ascii="Arial" w:hAnsi="Arial" w:cs="Arial"/>
        </w:rPr>
        <w:t xml:space="preserve">morphine, codeine, Darvon, Darvocet, </w:t>
      </w:r>
      <w:r w:rsidR="006362B6">
        <w:rPr>
          <w:rFonts w:ascii="Arial" w:hAnsi="Arial" w:cs="Arial"/>
        </w:rPr>
        <w:t>Fentanyl</w:t>
      </w:r>
      <w:r w:rsidR="00BA1694">
        <w:rPr>
          <w:rFonts w:ascii="Arial" w:hAnsi="Arial" w:cs="Arial"/>
        </w:rPr>
        <w:t xml:space="preserve">, </w:t>
      </w:r>
      <w:r w:rsidRPr="00075296">
        <w:rPr>
          <w:rFonts w:ascii="Arial" w:hAnsi="Arial" w:cs="Arial"/>
        </w:rPr>
        <w:t xml:space="preserve">Percocet, Percodan, </w:t>
      </w:r>
      <w:proofErr w:type="spellStart"/>
      <w:r w:rsidRPr="00075296">
        <w:rPr>
          <w:rFonts w:ascii="Arial" w:hAnsi="Arial" w:cs="Arial"/>
        </w:rPr>
        <w:t>Oxycotin</w:t>
      </w:r>
      <w:proofErr w:type="spellEnd"/>
      <w:r w:rsidRPr="00075296">
        <w:rPr>
          <w:rFonts w:ascii="Arial" w:hAnsi="Arial" w:cs="Arial"/>
        </w:rPr>
        <w:t>, Vicodin, Demerol,</w:t>
      </w:r>
      <w:r w:rsidR="000C6CA7">
        <w:rPr>
          <w:rFonts w:ascii="Arial" w:hAnsi="Arial" w:cs="Arial"/>
        </w:rPr>
        <w:t xml:space="preserve"> </w:t>
      </w:r>
      <w:r w:rsidR="000C6CA7" w:rsidRPr="00900BDC">
        <w:rPr>
          <w:rFonts w:ascii="Arial" w:hAnsi="Arial" w:cs="Arial"/>
        </w:rPr>
        <w:t>fentanyl</w:t>
      </w:r>
      <w:r w:rsidRPr="00075296">
        <w:rPr>
          <w:rFonts w:ascii="Arial" w:hAnsi="Arial" w:cs="Arial"/>
        </w:rPr>
        <w:t xml:space="preserve"> and certain prescription cough medicines. These drugs differ from the non-prescription pain relievers in their potential for abuse and dependence. </w:t>
      </w:r>
    </w:p>
    <w:p w14:paraId="37EF7CE8" w14:textId="77777777" w:rsidR="00075296" w:rsidRDefault="00075296" w:rsidP="00075296">
      <w:pPr>
        <w:spacing w:after="150" w:line="285" w:lineRule="atLeast"/>
        <w:rPr>
          <w:rFonts w:ascii="Arial" w:hAnsi="Arial" w:cs="Arial"/>
        </w:rPr>
      </w:pPr>
      <w:r w:rsidRPr="00075296">
        <w:rPr>
          <w:rFonts w:ascii="Arial" w:hAnsi="Arial" w:cs="Arial"/>
        </w:rPr>
        <w:t xml:space="preserve">With close medical supervision, these drugs may be safely used in specific medical circumstances for a limited time. However, as narcotics also produce euphoria, a person may not want to stop the drug when the pain has stopped, and addiction may occur. Tolerance to the drug is shown by an increase in the amount of drug necessary for the relief of pain. Tolerance can be developed within a short period of time (i.e., within approximately 10 doses or more).  This becomes progressive and leads to the craving or need for larger and larger doses without which the person becomes extremely uncomfortable and physically ill with withdrawal symptoms. These include nausea, diarrhea, cramps, weight loss, irritability, sweating, chills, insomnia, and craving for the drug. The time may come when the person “needs” a dose of the drug so large that it is poisonous or lethal. Under these circumstances, coma, suffocation, and death may ensue. This level of tolerance can lead to ingesting these drugs in a way to bypass the digestive track (i.e., crushing the pill and snorting), which changes the rate that the drug is absorbed in the body.  The dangerous course of this problem is also seen in addiction to heroin. </w:t>
      </w:r>
    </w:p>
    <w:p w14:paraId="79979AD5" w14:textId="77777777" w:rsidR="00F7796D" w:rsidRDefault="00F7796D" w:rsidP="00F7796D">
      <w:r w:rsidRPr="005979D4">
        <w:rPr>
          <w:rFonts w:ascii="Arial" w:hAnsi="Arial" w:cs="Arial"/>
        </w:rPr>
        <w:t xml:space="preserve">Fentanyl is an extremely potent synthetic opioid—50 times stronger than heroin. Traditionally, fentanyl and analogs such as </w:t>
      </w:r>
      <w:proofErr w:type="spellStart"/>
      <w:r w:rsidRPr="005979D4">
        <w:rPr>
          <w:rFonts w:ascii="Arial" w:hAnsi="Arial" w:cs="Arial"/>
        </w:rPr>
        <w:t>carfentanil</w:t>
      </w:r>
      <w:proofErr w:type="spellEnd"/>
      <w:r w:rsidRPr="005979D4">
        <w:rPr>
          <w:rFonts w:ascii="Arial" w:hAnsi="Arial" w:cs="Arial"/>
        </w:rPr>
        <w:t xml:space="preserve"> have been mixed with powder heroin. Fentanyl and related compounds are also being found in counterfeit pills made </w:t>
      </w:r>
      <w:r w:rsidRPr="005979D4">
        <w:rPr>
          <w:rFonts w:ascii="Arial" w:hAnsi="Arial" w:cs="Arial"/>
        </w:rPr>
        <w:lastRenderedPageBreak/>
        <w:t>to look like prescription pain relievers and sedatives (e.g., OxyContin®, Xanax®, Norco®).</w:t>
      </w:r>
      <w:r>
        <w:rPr>
          <w:rStyle w:val="FootnoteReference"/>
        </w:rPr>
        <w:footnoteReference w:id="6"/>
      </w:r>
    </w:p>
    <w:p w14:paraId="481BD351" w14:textId="77777777" w:rsidR="00F7796D" w:rsidRDefault="00F7796D" w:rsidP="00F7796D"/>
    <w:p w14:paraId="6E86A0AA" w14:textId="77777777" w:rsidR="00F7796D" w:rsidRDefault="00F7796D" w:rsidP="00F7796D">
      <w:proofErr w:type="spellStart"/>
      <w:r w:rsidRPr="005979D4">
        <w:rPr>
          <w:rFonts w:ascii="Arial" w:hAnsi="Arial" w:cs="Arial"/>
        </w:rPr>
        <w:t>Carfentanil</w:t>
      </w:r>
      <w:proofErr w:type="spellEnd"/>
      <w:r w:rsidRPr="005979D4">
        <w:rPr>
          <w:rFonts w:ascii="Arial" w:hAnsi="Arial" w:cs="Arial"/>
        </w:rPr>
        <w:t xml:space="preserve">, a fentanyl analog with a potency approximately 10,000 times that of morphine, has been linked to a significant number of overdose deaths nationwide. It is used as a sedative or in general anesthesia for large animals, including elephants, but is not approved for use in humans.  As with many fentanyl analogs, it is likely that </w:t>
      </w:r>
      <w:proofErr w:type="spellStart"/>
      <w:r w:rsidRPr="005979D4">
        <w:rPr>
          <w:rFonts w:ascii="Arial" w:hAnsi="Arial" w:cs="Arial"/>
        </w:rPr>
        <w:t>carfentanil</w:t>
      </w:r>
      <w:proofErr w:type="spellEnd"/>
      <w:r w:rsidRPr="005979D4">
        <w:rPr>
          <w:rFonts w:ascii="Arial" w:hAnsi="Arial" w:cs="Arial"/>
        </w:rPr>
        <w:t xml:space="preserve"> is being added to mixtures of heroin</w:t>
      </w:r>
      <w:r>
        <w:t xml:space="preserve"> </w:t>
      </w:r>
      <w:r w:rsidRPr="005979D4">
        <w:rPr>
          <w:rFonts w:ascii="Arial" w:hAnsi="Arial" w:cs="Arial"/>
        </w:rPr>
        <w:t>and other street drugs, but it is not known</w:t>
      </w:r>
      <w:r>
        <w:t xml:space="preserve"> </w:t>
      </w:r>
      <w:r w:rsidRPr="005979D4">
        <w:rPr>
          <w:rFonts w:ascii="Arial" w:hAnsi="Arial" w:cs="Arial"/>
        </w:rPr>
        <w:t xml:space="preserve">how often </w:t>
      </w:r>
      <w:proofErr w:type="spellStart"/>
      <w:r w:rsidRPr="005979D4">
        <w:rPr>
          <w:rFonts w:ascii="Arial" w:hAnsi="Arial" w:cs="Arial"/>
        </w:rPr>
        <w:t>carfentanil</w:t>
      </w:r>
      <w:proofErr w:type="spellEnd"/>
      <w:r w:rsidRPr="005979D4">
        <w:rPr>
          <w:rFonts w:ascii="Arial" w:hAnsi="Arial" w:cs="Arial"/>
        </w:rPr>
        <w:t xml:space="preserve"> is being added to or substituted for other opioids in street drugs, underscoring its danger</w:t>
      </w:r>
      <w:r>
        <w:t>.</w:t>
      </w:r>
      <w:r>
        <w:rPr>
          <w:rStyle w:val="FootnoteReference"/>
        </w:rPr>
        <w:footnoteReference w:id="7"/>
      </w:r>
    </w:p>
    <w:p w14:paraId="3DCE9C95" w14:textId="77777777" w:rsidR="00F7796D" w:rsidRDefault="00F7796D" w:rsidP="00075296">
      <w:pPr>
        <w:spacing w:after="150" w:line="285" w:lineRule="atLeast"/>
        <w:rPr>
          <w:rFonts w:ascii="Arial" w:hAnsi="Arial" w:cs="Arial"/>
        </w:rPr>
      </w:pPr>
    </w:p>
    <w:p w14:paraId="3A59DFAA" w14:textId="77777777" w:rsidR="00075296" w:rsidRDefault="00075296" w:rsidP="00075296">
      <w:pPr>
        <w:spacing w:after="150" w:line="285" w:lineRule="atLeast"/>
        <w:rPr>
          <w:rFonts w:ascii="Arial" w:hAnsi="Arial" w:cs="Arial"/>
        </w:rPr>
      </w:pPr>
      <w:r w:rsidRPr="00075296">
        <w:rPr>
          <w:rFonts w:ascii="Arial" w:hAnsi="Arial" w:cs="Arial"/>
        </w:rPr>
        <w:t>Heroin is a commonly abused illegal narcotic. It may be used by injection into a vein (“shooting up” or “mainlining”) or ingested intra</w:t>
      </w:r>
      <w:r w:rsidR="000C6CA7">
        <w:rPr>
          <w:rFonts w:ascii="Arial" w:hAnsi="Arial" w:cs="Arial"/>
        </w:rPr>
        <w:t>-</w:t>
      </w:r>
      <w:r w:rsidRPr="00075296">
        <w:rPr>
          <w:rFonts w:ascii="Arial" w:hAnsi="Arial" w:cs="Arial"/>
        </w:rPr>
        <w:t xml:space="preserve">nasally (“snorting”), and death may occur if the amount injected is sufficient to slow or stop breathing. The intravenous use of heroin also carries the additional medical dangers of AIDS and hepatitis from use of unclean needles and syringes. Over the past 10 years, heroin has been available in purer forms, and thus the risk of accidental overdose has also increased.  Other risks for overdose include using </w:t>
      </w:r>
      <w:r w:rsidR="00BA1694" w:rsidRPr="00075296">
        <w:rPr>
          <w:rFonts w:ascii="Arial" w:hAnsi="Arial" w:cs="Arial"/>
        </w:rPr>
        <w:t>opioid</w:t>
      </w:r>
      <w:r w:rsidRPr="00075296">
        <w:rPr>
          <w:rFonts w:ascii="Arial" w:hAnsi="Arial" w:cs="Arial"/>
        </w:rPr>
        <w:t xml:space="preserve"> prescription drugs and/or heroin with another depressant such as alcohol.</w:t>
      </w:r>
    </w:p>
    <w:p w14:paraId="24E646F0" w14:textId="77777777" w:rsidR="007C6F33" w:rsidRDefault="007C6F33" w:rsidP="00075296">
      <w:pPr>
        <w:spacing w:after="150" w:line="285" w:lineRule="atLeast"/>
        <w:rPr>
          <w:rFonts w:ascii="Arial" w:hAnsi="Arial" w:cs="Arial"/>
        </w:rPr>
      </w:pPr>
    </w:p>
    <w:p w14:paraId="313C3849" w14:textId="77777777" w:rsidR="00FF2678" w:rsidRDefault="00BA1694" w:rsidP="00075296">
      <w:pPr>
        <w:spacing w:after="150" w:line="285" w:lineRule="atLeast"/>
        <w:rPr>
          <w:rFonts w:ascii="Arial" w:hAnsi="Arial" w:cs="Arial"/>
        </w:rPr>
      </w:pPr>
      <w:r>
        <w:rPr>
          <w:rFonts w:ascii="Arial" w:hAnsi="Arial" w:cs="Arial"/>
        </w:rPr>
        <w:t>Salvia is an herb found in southern Mexico and Central and South America.  The main active ingredient affects the brain by attaching to targets on nerve cells called kappa opioid receptors.  People who use salvia generally experience hallucinations or loss of contact with reality.  The effects are intense, but do not last long, appearing in less than one minute and lasting less than thirty minutes</w:t>
      </w:r>
      <w:r w:rsidR="00195A8A">
        <w:rPr>
          <w:rFonts w:ascii="Arial" w:hAnsi="Arial" w:cs="Arial"/>
        </w:rPr>
        <w:t xml:space="preserve">.  </w:t>
      </w:r>
      <w:proofErr w:type="spellStart"/>
      <w:r w:rsidR="007C6F33">
        <w:rPr>
          <w:rFonts w:ascii="Arial" w:hAnsi="Arial" w:cs="Arial"/>
        </w:rPr>
        <w:t>K</w:t>
      </w:r>
      <w:r w:rsidR="00FF2678" w:rsidRPr="00CA129A">
        <w:rPr>
          <w:rFonts w:ascii="Arial" w:hAnsi="Arial" w:cs="Arial"/>
        </w:rPr>
        <w:t>rokodil</w:t>
      </w:r>
      <w:proofErr w:type="spellEnd"/>
      <w:r w:rsidR="00FF2678" w:rsidRPr="00CA129A">
        <w:rPr>
          <w:rFonts w:ascii="Arial" w:hAnsi="Arial" w:cs="Arial"/>
        </w:rPr>
        <w:t xml:space="preserve"> is a synthetic form of a heroin-like drug called </w:t>
      </w:r>
      <w:proofErr w:type="spellStart"/>
      <w:r w:rsidR="00FF2678" w:rsidRPr="00CA129A">
        <w:rPr>
          <w:rFonts w:ascii="Arial" w:hAnsi="Arial" w:cs="Arial"/>
        </w:rPr>
        <w:t>desomorphine</w:t>
      </w:r>
      <w:proofErr w:type="spellEnd"/>
      <w:r w:rsidR="00FF2678" w:rsidRPr="00CA129A">
        <w:rPr>
          <w:rFonts w:ascii="Arial" w:hAnsi="Arial" w:cs="Arial"/>
        </w:rPr>
        <w:t xml:space="preserve"> that is made by combining codeine tablets with various toxic chemicals including lighter fluid and industrial cleaners. </w:t>
      </w:r>
      <w:proofErr w:type="spellStart"/>
      <w:r w:rsidR="00FF2678" w:rsidRPr="00CA129A">
        <w:rPr>
          <w:rFonts w:ascii="Arial" w:hAnsi="Arial" w:cs="Arial"/>
        </w:rPr>
        <w:t>Desomorphine</w:t>
      </w:r>
      <w:proofErr w:type="spellEnd"/>
      <w:r w:rsidR="00FF2678" w:rsidRPr="00CA129A">
        <w:rPr>
          <w:rFonts w:ascii="Arial" w:hAnsi="Arial" w:cs="Arial"/>
        </w:rPr>
        <w:t xml:space="preserve"> has a similar effect to heroin in the brain, although it is more powerful and has a shorter duration. </w:t>
      </w:r>
      <w:proofErr w:type="spellStart"/>
      <w:r w:rsidR="00FF2678" w:rsidRPr="00CA129A">
        <w:rPr>
          <w:rFonts w:ascii="Arial" w:hAnsi="Arial" w:cs="Arial"/>
        </w:rPr>
        <w:t>Krokodil</w:t>
      </w:r>
      <w:proofErr w:type="spellEnd"/>
      <w:r w:rsidR="00FF2678" w:rsidRPr="00CA129A">
        <w:rPr>
          <w:rFonts w:ascii="Arial" w:hAnsi="Arial" w:cs="Arial"/>
        </w:rPr>
        <w:t xml:space="preserve"> gets its name from the scaly, gray-green dead skin that forms at the site of an injection. The flesh destroyed by </w:t>
      </w:r>
      <w:proofErr w:type="spellStart"/>
      <w:r w:rsidR="00FF2678" w:rsidRPr="00CA129A">
        <w:rPr>
          <w:rFonts w:ascii="Arial" w:hAnsi="Arial" w:cs="Arial"/>
        </w:rPr>
        <w:t>krokodil</w:t>
      </w:r>
      <w:proofErr w:type="spellEnd"/>
      <w:r w:rsidR="00FF2678" w:rsidRPr="00CA129A">
        <w:rPr>
          <w:rFonts w:ascii="Arial" w:hAnsi="Arial" w:cs="Arial"/>
        </w:rPr>
        <w:t xml:space="preserve"> becomes gangrenous, and, in some cases, limb amputation has been necessary to save a user’s life.</w:t>
      </w:r>
      <w:r w:rsidR="008E73B6">
        <w:rPr>
          <w:rStyle w:val="FootnoteReference"/>
          <w:rFonts w:ascii="Arial" w:hAnsi="Arial" w:cs="Arial"/>
        </w:rPr>
        <w:footnoteReference w:id="8"/>
      </w:r>
    </w:p>
    <w:p w14:paraId="6E480CDA" w14:textId="77777777" w:rsidR="00FF2678" w:rsidRPr="00CA129A" w:rsidRDefault="00FF2678" w:rsidP="00CA129A">
      <w:pPr>
        <w:spacing w:before="100" w:beforeAutospacing="1" w:after="100" w:afterAutospacing="1"/>
        <w:outlineLvl w:val="1"/>
        <w:rPr>
          <w:rFonts w:ascii="Arial" w:hAnsi="Arial" w:cs="Arial"/>
        </w:rPr>
      </w:pPr>
      <w:r w:rsidRPr="00CA129A">
        <w:rPr>
          <w:rFonts w:ascii="Arial" w:hAnsi="Arial" w:cs="Arial"/>
        </w:rPr>
        <w:t>“Syrup,” “Purple Drank,” “</w:t>
      </w:r>
      <w:proofErr w:type="spellStart"/>
      <w:r w:rsidRPr="00CA129A">
        <w:rPr>
          <w:rFonts w:ascii="Arial" w:hAnsi="Arial" w:cs="Arial"/>
        </w:rPr>
        <w:t>Sizzurp</w:t>
      </w:r>
      <w:proofErr w:type="spellEnd"/>
      <w:r w:rsidRPr="00CA129A">
        <w:rPr>
          <w:rFonts w:ascii="Arial" w:hAnsi="Arial" w:cs="Arial"/>
        </w:rPr>
        <w:t>,” “Lean”</w:t>
      </w:r>
      <w:r>
        <w:rPr>
          <w:rFonts w:ascii="Arial" w:hAnsi="Arial" w:cs="Arial"/>
        </w:rPr>
        <w:t xml:space="preserve">:  </w:t>
      </w:r>
      <w:r w:rsidR="008E6486">
        <w:rPr>
          <w:rFonts w:ascii="Arial" w:hAnsi="Arial" w:cs="Arial"/>
        </w:rPr>
        <w:t>d</w:t>
      </w:r>
      <w:r w:rsidRPr="00CA129A">
        <w:rPr>
          <w:rFonts w:ascii="Arial" w:hAnsi="Arial" w:cs="Arial"/>
        </w:rPr>
        <w:t>rinking prescription-strength cough syrup containing codeine and promethazine mixed with soda</w:t>
      </w:r>
      <w:r w:rsidR="008E6486">
        <w:rPr>
          <w:rFonts w:ascii="Arial" w:hAnsi="Arial" w:cs="Arial"/>
        </w:rPr>
        <w:t xml:space="preserve">. </w:t>
      </w:r>
      <w:r w:rsidRPr="00CA129A">
        <w:rPr>
          <w:rFonts w:ascii="Arial" w:hAnsi="Arial" w:cs="Arial"/>
        </w:rPr>
        <w:t xml:space="preserve"> Codeine is an opioid that can produce relaxation and euphoria when consumed in sufficient quantities. Promethazine is an antihistamine that also acts as a sedative. Users may also flavor the mixture with the addition of hard candies.</w:t>
      </w:r>
      <w:r>
        <w:rPr>
          <w:rFonts w:ascii="Arial" w:hAnsi="Arial" w:cs="Arial"/>
        </w:rPr>
        <w:t xml:space="preserve">  </w:t>
      </w:r>
      <w:r w:rsidRPr="00CA129A">
        <w:rPr>
          <w:rFonts w:ascii="Arial" w:hAnsi="Arial" w:cs="Arial"/>
        </w:rPr>
        <w:t xml:space="preserve">Codeine and other opioids present a high risk of fatal </w:t>
      </w:r>
      <w:r w:rsidRPr="00CA129A">
        <w:rPr>
          <w:rFonts w:ascii="Arial" w:hAnsi="Arial" w:cs="Arial"/>
        </w:rPr>
        <w:lastRenderedPageBreak/>
        <w:t>overdose due to their effect of depressing the central nervous system, which can slow or stop the heart and lungs. Mixing with alcohol greatly increases this risk. Deaths from prescription opioid medications now outnumber overdose deaths from all other drugs (including cocaine and heroin)</w:t>
      </w:r>
      <w:r w:rsidR="006B5F75">
        <w:rPr>
          <w:rFonts w:ascii="Arial" w:hAnsi="Arial" w:cs="Arial"/>
        </w:rPr>
        <w:t>.</w:t>
      </w:r>
      <w:r w:rsidR="008E73B6">
        <w:rPr>
          <w:rStyle w:val="FootnoteReference"/>
          <w:rFonts w:ascii="Arial" w:hAnsi="Arial" w:cs="Arial"/>
        </w:rPr>
        <w:footnoteReference w:id="9"/>
      </w:r>
      <w:r w:rsidR="006B5F75">
        <w:rPr>
          <w:rFonts w:ascii="Arial" w:hAnsi="Arial" w:cs="Arial"/>
        </w:rPr>
        <w:t xml:space="preserve"> </w:t>
      </w:r>
    </w:p>
    <w:p w14:paraId="5D21FA35" w14:textId="77777777" w:rsidR="00075296" w:rsidRPr="00075296" w:rsidRDefault="00075296" w:rsidP="00075296">
      <w:pPr>
        <w:spacing w:after="150" w:line="285" w:lineRule="atLeast"/>
        <w:rPr>
          <w:rFonts w:ascii="Arial" w:hAnsi="Arial" w:cs="Arial"/>
          <w:b/>
          <w:bCs/>
        </w:rPr>
      </w:pPr>
      <w:r w:rsidRPr="00075296">
        <w:rPr>
          <w:rFonts w:ascii="Arial" w:hAnsi="Arial" w:cs="Arial"/>
          <w:b/>
          <w:bCs/>
        </w:rPr>
        <w:t xml:space="preserve">Sedatives and Tranquilizers </w:t>
      </w:r>
    </w:p>
    <w:p w14:paraId="7B88BC8F"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The barbiturates and the benzodiazepines are two of the </w:t>
      </w:r>
      <w:proofErr w:type="gramStart"/>
      <w:r w:rsidRPr="00075296">
        <w:rPr>
          <w:rFonts w:ascii="Arial" w:hAnsi="Arial" w:cs="Arial"/>
        </w:rPr>
        <w:t>most commonly used</w:t>
      </w:r>
      <w:proofErr w:type="gramEnd"/>
      <w:r w:rsidRPr="00075296">
        <w:rPr>
          <w:rFonts w:ascii="Arial" w:hAnsi="Arial" w:cs="Arial"/>
        </w:rPr>
        <w:t xml:space="preserve"> drugs in this group, and they are both known as depressants. The barbiturates (such as phenobarbital, </w:t>
      </w:r>
      <w:proofErr w:type="spellStart"/>
      <w:r w:rsidRPr="00075296">
        <w:rPr>
          <w:rFonts w:ascii="Arial" w:hAnsi="Arial" w:cs="Arial"/>
        </w:rPr>
        <w:t>seconal</w:t>
      </w:r>
      <w:proofErr w:type="spellEnd"/>
      <w:r w:rsidRPr="00075296">
        <w:rPr>
          <w:rFonts w:ascii="Arial" w:hAnsi="Arial" w:cs="Arial"/>
        </w:rPr>
        <w:t xml:space="preserve">, and amytal) are highly addictive and can be fatal if taken in excess. Although they still have medical uses, they have largely been replaced by the benzodiazepines for the relief of anxiety and insomnia. The benzodiazepine group includes such drugs as Valium, Librium, Ativan, Xanax, </w:t>
      </w:r>
      <w:proofErr w:type="spellStart"/>
      <w:r w:rsidRPr="00075296">
        <w:rPr>
          <w:rFonts w:ascii="Arial" w:hAnsi="Arial" w:cs="Arial"/>
        </w:rPr>
        <w:t>Klonopin</w:t>
      </w:r>
      <w:proofErr w:type="spellEnd"/>
      <w:r w:rsidRPr="00075296">
        <w:rPr>
          <w:rFonts w:ascii="Arial" w:hAnsi="Arial" w:cs="Arial"/>
        </w:rPr>
        <w:t xml:space="preserve">, </w:t>
      </w:r>
      <w:proofErr w:type="spellStart"/>
      <w:r w:rsidRPr="00075296">
        <w:rPr>
          <w:rFonts w:ascii="Arial" w:hAnsi="Arial" w:cs="Arial"/>
        </w:rPr>
        <w:t>Dalmane</w:t>
      </w:r>
      <w:proofErr w:type="spellEnd"/>
      <w:r w:rsidRPr="00075296">
        <w:rPr>
          <w:rFonts w:ascii="Arial" w:hAnsi="Arial" w:cs="Arial"/>
        </w:rPr>
        <w:t xml:space="preserve">, Halcyon, and Restoril. While benzodiazepines have approved medical usages and are safe and effective at moderate doses for short periods of time, all the benzodiazepines have a potential for physical and psychological dependence if used at higher doses for longer periods of time. Benzodiazepines may also be used by some people to get “high.” </w:t>
      </w:r>
    </w:p>
    <w:p w14:paraId="47B6BD13"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Intoxication with benzodiazepines may occur and resembles alcohol intoxication. Drowsiness, slurred speech, unsteady gait, and lack of coordination are common signs. The effects of the benzodiazepines (and the barbiturates and other sedatives) add to those of alcohol (another depressant) such that when they are taken together, there is increased risk of coma, respiratory depression, and death. Withdrawal from benzodiazepines resembles alcohol withdrawal, and it most often occurs when they are stopped abruptly. Withdrawal begins within hours to days of stopping the drug. Because benzodiazepine withdrawal may have life-threatening complications (such as seizures), discontinuing their use should not be attempted without a physician’s supervision. </w:t>
      </w:r>
    </w:p>
    <w:p w14:paraId="488056F2"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Rohypnol (roofies, </w:t>
      </w:r>
      <w:proofErr w:type="spellStart"/>
      <w:r w:rsidRPr="00075296">
        <w:rPr>
          <w:rFonts w:ascii="Arial" w:hAnsi="Arial" w:cs="Arial"/>
        </w:rPr>
        <w:t>ruffies</w:t>
      </w:r>
      <w:proofErr w:type="spellEnd"/>
      <w:r w:rsidRPr="00075296">
        <w:rPr>
          <w:rFonts w:ascii="Arial" w:hAnsi="Arial" w:cs="Arial"/>
        </w:rPr>
        <w:t xml:space="preserve">, rope, rib, </w:t>
      </w:r>
      <w:proofErr w:type="spellStart"/>
      <w:r w:rsidRPr="00075296">
        <w:rPr>
          <w:rFonts w:ascii="Arial" w:hAnsi="Arial" w:cs="Arial"/>
        </w:rPr>
        <w:t>roche</w:t>
      </w:r>
      <w:proofErr w:type="spellEnd"/>
      <w:r w:rsidRPr="00075296">
        <w:rPr>
          <w:rFonts w:ascii="Arial" w:hAnsi="Arial" w:cs="Arial"/>
        </w:rPr>
        <w:t xml:space="preserve">, Mexican Valium, R2) is a drug which is approved or sold in other countries as a sleeping aid or presurgical sedative. This drug is NOT manufactured or sold in the United States. Rohypnol tablets are white and contain the name “Roche” and an encircled 1 or 2 on one side indicating the milligram. </w:t>
      </w:r>
    </w:p>
    <w:p w14:paraId="7E9461F8" w14:textId="77777777" w:rsidR="00075296" w:rsidRDefault="00075296" w:rsidP="00075296">
      <w:pPr>
        <w:spacing w:after="150" w:line="285" w:lineRule="atLeast"/>
        <w:rPr>
          <w:rFonts w:ascii="Arial" w:hAnsi="Arial" w:cs="Arial"/>
        </w:rPr>
      </w:pPr>
      <w:r w:rsidRPr="00075296">
        <w:rPr>
          <w:rFonts w:ascii="Arial" w:hAnsi="Arial" w:cs="Arial"/>
        </w:rPr>
        <w:t xml:space="preserve">Rohypnol can be placed in drinks and used as an aid to sexual assault of a victim. Sedative effects are felt within 10 to 30 minutes after consuming the drug. Strongest effects occur within one to two hours, with a complete sedative effect lasting 6 to 8 hours, and amnesia lasting up to 10 hours. Individuals may appear drunk and display side effects that may include drowsiness, impaired motor skills, impaired judgment, dizziness, confusion, and amnesia. When this drug is mixed with alcohol, narcotics or other depressants, its effects can be lethal. </w:t>
      </w:r>
    </w:p>
    <w:p w14:paraId="1D7F620E" w14:textId="77777777" w:rsidR="00BA1694" w:rsidRDefault="00BA1694" w:rsidP="00075296">
      <w:pPr>
        <w:spacing w:after="150" w:line="285" w:lineRule="atLeast"/>
        <w:rPr>
          <w:rFonts w:ascii="Arial" w:hAnsi="Arial" w:cs="Arial"/>
        </w:rPr>
      </w:pPr>
      <w:r>
        <w:rPr>
          <w:rFonts w:ascii="Arial" w:hAnsi="Arial" w:cs="Arial"/>
        </w:rPr>
        <w:t>Sleep medications (Ambien, Lunesta, Rozerem, Sonata)</w:t>
      </w:r>
      <w:r w:rsidR="00370D35">
        <w:rPr>
          <w:rFonts w:ascii="Arial" w:hAnsi="Arial" w:cs="Arial"/>
        </w:rPr>
        <w:t xml:space="preserve">.  These hypnotics are used for the treatment of insomnia which is characterized by difficulty with falling asleep or </w:t>
      </w:r>
      <w:r w:rsidR="00370D35">
        <w:rPr>
          <w:rFonts w:ascii="Arial" w:hAnsi="Arial" w:cs="Arial"/>
        </w:rPr>
        <w:lastRenderedPageBreak/>
        <w:t>maintaining sleep.  These drugs depress or slow down the body’s functions.  All sleep medications have the potential to cause dependence.</w:t>
      </w:r>
    </w:p>
    <w:p w14:paraId="3AE16969" w14:textId="77777777" w:rsidR="00370D35" w:rsidRDefault="00370D35" w:rsidP="00075296">
      <w:pPr>
        <w:spacing w:after="150" w:line="285" w:lineRule="atLeast"/>
        <w:rPr>
          <w:rFonts w:ascii="Arial" w:hAnsi="Arial" w:cs="Arial"/>
        </w:rPr>
      </w:pPr>
    </w:p>
    <w:p w14:paraId="7495AF11" w14:textId="77777777" w:rsidR="00370D35" w:rsidRDefault="00370D35" w:rsidP="00075296">
      <w:pPr>
        <w:spacing w:after="150" w:line="285" w:lineRule="atLeast"/>
        <w:rPr>
          <w:rFonts w:ascii="Arial" w:hAnsi="Arial" w:cs="Arial"/>
          <w:b/>
          <w:bCs/>
        </w:rPr>
      </w:pPr>
      <w:r w:rsidRPr="006362B6">
        <w:rPr>
          <w:rFonts w:ascii="Arial" w:hAnsi="Arial" w:cs="Arial"/>
          <w:b/>
          <w:bCs/>
        </w:rPr>
        <w:t>Anabolic Steroids</w:t>
      </w:r>
    </w:p>
    <w:p w14:paraId="2D6A1BC8" w14:textId="77777777" w:rsidR="00370D35" w:rsidRPr="00370D35" w:rsidRDefault="00370D35" w:rsidP="00075296">
      <w:pPr>
        <w:spacing w:after="150" w:line="285" w:lineRule="atLeast"/>
        <w:rPr>
          <w:rFonts w:ascii="Arial" w:hAnsi="Arial" w:cs="Arial"/>
          <w:bCs/>
        </w:rPr>
      </w:pPr>
      <w:r>
        <w:rPr>
          <w:rFonts w:ascii="Arial" w:hAnsi="Arial" w:cs="Arial"/>
          <w:bCs/>
        </w:rPr>
        <w:t>Health risks can be produced by long-term use or excessive doses of anabolic steroids.  These effects include harmful changes in cholesterol levels, acne, high blood pressure, liver damage, and dangerous changes in the structure of the left ventricle of the heart.  On the street, steroids may be called “</w:t>
      </w:r>
      <w:proofErr w:type="spellStart"/>
      <w:r>
        <w:rPr>
          <w:rFonts w:ascii="Arial" w:hAnsi="Arial" w:cs="Arial"/>
          <w:bCs/>
        </w:rPr>
        <w:t>roids</w:t>
      </w:r>
      <w:proofErr w:type="spellEnd"/>
      <w:r>
        <w:rPr>
          <w:rFonts w:ascii="Arial" w:hAnsi="Arial" w:cs="Arial"/>
          <w:bCs/>
        </w:rPr>
        <w:t>” or “juice.”</w:t>
      </w:r>
    </w:p>
    <w:p w14:paraId="5AB8A431" w14:textId="77777777" w:rsidR="00370D35" w:rsidRDefault="00370D35" w:rsidP="00075296">
      <w:pPr>
        <w:spacing w:after="150" w:line="285" w:lineRule="atLeast"/>
        <w:rPr>
          <w:rFonts w:ascii="Arial" w:hAnsi="Arial" w:cs="Arial"/>
        </w:rPr>
      </w:pPr>
    </w:p>
    <w:p w14:paraId="787FD226" w14:textId="77777777" w:rsidR="00370D35" w:rsidRDefault="00370D35" w:rsidP="00075296">
      <w:pPr>
        <w:spacing w:after="150" w:line="285" w:lineRule="atLeast"/>
        <w:rPr>
          <w:rFonts w:ascii="Arial" w:hAnsi="Arial" w:cs="Arial"/>
          <w:b/>
          <w:bCs/>
        </w:rPr>
      </w:pPr>
      <w:r w:rsidRPr="006362B6">
        <w:rPr>
          <w:rFonts w:ascii="Arial" w:hAnsi="Arial" w:cs="Arial"/>
          <w:b/>
          <w:bCs/>
        </w:rPr>
        <w:t>Inhalants</w:t>
      </w:r>
    </w:p>
    <w:p w14:paraId="5AAE00A7" w14:textId="77777777" w:rsidR="00370D35" w:rsidRDefault="00370D35" w:rsidP="00075296">
      <w:pPr>
        <w:spacing w:after="150" w:line="285" w:lineRule="atLeast"/>
        <w:rPr>
          <w:rFonts w:ascii="Arial" w:hAnsi="Arial" w:cs="Arial"/>
          <w:bCs/>
        </w:rPr>
      </w:pPr>
      <w:r>
        <w:rPr>
          <w:rFonts w:ascii="Arial" w:hAnsi="Arial" w:cs="Arial"/>
          <w:bCs/>
        </w:rPr>
        <w:t>Inhalants are ordinary household products that are inhaled, huffed, or sniffed to get high.  Because intoxication or high lasts only a few minutes, people who abuse inhalants often try to make the feeling last longer by inhaling repeatedly over several hours.  Common slang for inhalants includes “laughing gas”, “snappers”, “poppers”, “whippets”, “bold”, and “rush.”</w:t>
      </w:r>
    </w:p>
    <w:p w14:paraId="605BE274" w14:textId="77777777" w:rsidR="00F4507C" w:rsidRDefault="00F4507C" w:rsidP="00075296">
      <w:pPr>
        <w:spacing w:after="150" w:line="285" w:lineRule="atLeast"/>
        <w:rPr>
          <w:rFonts w:ascii="Arial" w:hAnsi="Arial" w:cs="Arial"/>
          <w:bCs/>
        </w:rPr>
      </w:pPr>
    </w:p>
    <w:p w14:paraId="400B6989" w14:textId="77777777" w:rsidR="00F4507C" w:rsidRPr="00CA129A" w:rsidRDefault="008F7D95" w:rsidP="00075296">
      <w:pPr>
        <w:spacing w:after="150" w:line="285" w:lineRule="atLeast"/>
        <w:rPr>
          <w:rFonts w:ascii="Arial" w:hAnsi="Arial" w:cs="Arial"/>
          <w:b/>
          <w:bCs/>
        </w:rPr>
      </w:pPr>
      <w:r w:rsidRPr="00CA129A">
        <w:rPr>
          <w:rFonts w:ascii="Arial" w:hAnsi="Arial" w:cs="Arial"/>
          <w:b/>
          <w:bCs/>
        </w:rPr>
        <w:t>ADHD Stimulants</w:t>
      </w:r>
    </w:p>
    <w:p w14:paraId="10DC8E1B" w14:textId="77777777" w:rsidR="008F7D95" w:rsidRDefault="008F7D95" w:rsidP="00075296">
      <w:pPr>
        <w:spacing w:after="150" w:line="285" w:lineRule="atLeast"/>
        <w:rPr>
          <w:rFonts w:ascii="Arial" w:hAnsi="Arial" w:cs="Arial"/>
          <w:bCs/>
        </w:rPr>
      </w:pPr>
      <w:r>
        <w:rPr>
          <w:rFonts w:ascii="Arial" w:hAnsi="Arial" w:cs="Arial"/>
          <w:bCs/>
        </w:rPr>
        <w:t xml:space="preserve">Amphetamine stimulants (Adderall, Vyvanse) and methylphenidate stimulants (Ritalin, </w:t>
      </w:r>
      <w:proofErr w:type="spellStart"/>
      <w:r>
        <w:rPr>
          <w:rFonts w:ascii="Arial" w:hAnsi="Arial" w:cs="Arial"/>
          <w:bCs/>
        </w:rPr>
        <w:t>Concerta</w:t>
      </w:r>
      <w:proofErr w:type="spellEnd"/>
      <w:r>
        <w:rPr>
          <w:rFonts w:ascii="Arial" w:hAnsi="Arial" w:cs="Arial"/>
          <w:bCs/>
        </w:rPr>
        <w:t xml:space="preserve">) </w:t>
      </w:r>
      <w:r w:rsidRPr="00CA129A">
        <w:rPr>
          <w:rFonts w:ascii="Arial" w:hAnsi="Arial" w:cs="Arial"/>
          <w:bCs/>
        </w:rPr>
        <w:t>may help control attention deficit symptoms.</w:t>
      </w:r>
      <w:r>
        <w:rPr>
          <w:rFonts w:ascii="Arial" w:hAnsi="Arial" w:cs="Arial"/>
          <w:bCs/>
        </w:rPr>
        <w:t xml:space="preserve">  </w:t>
      </w:r>
      <w:r w:rsidRPr="00CA129A">
        <w:rPr>
          <w:rFonts w:ascii="Arial" w:hAnsi="Arial" w:cs="Arial"/>
          <w:bCs/>
        </w:rPr>
        <w:t>Prescription stimulants are sometimes abused—that is, taken in higher quantities or in a different manner than prescribed, or taken by those without a prescription</w:t>
      </w:r>
      <w:r>
        <w:rPr>
          <w:rFonts w:ascii="Arial" w:hAnsi="Arial" w:cs="Arial"/>
          <w:bCs/>
        </w:rPr>
        <w:t xml:space="preserve"> (prescription diversion)</w:t>
      </w:r>
      <w:r w:rsidRPr="00CA129A">
        <w:rPr>
          <w:rFonts w:ascii="Arial" w:hAnsi="Arial" w:cs="Arial"/>
          <w:bCs/>
        </w:rPr>
        <w:t>. Because they suppress appetite, increase wakefulness, and increase focus and attention, they are frequently abused for purposes of weight loss or performance enhancement (e.g., to help study or boost grades in school). Because they may produce euphoria, these drugs are also frequently abused for recreational purposes (i.e., to get high).</w:t>
      </w:r>
      <w:r w:rsidR="00B94CF1">
        <w:rPr>
          <w:rStyle w:val="FootnoteReference"/>
          <w:rFonts w:ascii="Arial" w:hAnsi="Arial" w:cs="Arial"/>
          <w:bCs/>
        </w:rPr>
        <w:footnoteReference w:id="10"/>
      </w:r>
    </w:p>
    <w:p w14:paraId="78445368" w14:textId="77777777" w:rsidR="008E6486" w:rsidRDefault="008E6486" w:rsidP="00075296">
      <w:pPr>
        <w:spacing w:after="150" w:line="285" w:lineRule="atLeast"/>
        <w:rPr>
          <w:rFonts w:ascii="Arial" w:hAnsi="Arial" w:cs="Arial"/>
          <w:bCs/>
        </w:rPr>
      </w:pPr>
    </w:p>
    <w:p w14:paraId="7040C66C" w14:textId="77777777" w:rsidR="008E6486" w:rsidRPr="00CA129A" w:rsidRDefault="008E6486" w:rsidP="00075296">
      <w:pPr>
        <w:spacing w:after="150" w:line="285" w:lineRule="atLeast"/>
        <w:rPr>
          <w:rFonts w:ascii="Arial" w:hAnsi="Arial" w:cs="Arial"/>
          <w:b/>
          <w:bCs/>
        </w:rPr>
      </w:pPr>
      <w:proofErr w:type="spellStart"/>
      <w:proofErr w:type="gramStart"/>
      <w:r w:rsidRPr="00CA129A">
        <w:rPr>
          <w:rFonts w:ascii="Arial" w:hAnsi="Arial" w:cs="Arial"/>
          <w:b/>
          <w:bCs/>
        </w:rPr>
        <w:t>Non medical</w:t>
      </w:r>
      <w:proofErr w:type="spellEnd"/>
      <w:proofErr w:type="gramEnd"/>
      <w:r w:rsidRPr="00CA129A">
        <w:rPr>
          <w:rFonts w:ascii="Arial" w:hAnsi="Arial" w:cs="Arial"/>
          <w:b/>
          <w:bCs/>
        </w:rPr>
        <w:t xml:space="preserve"> use of Over-the-Counter</w:t>
      </w:r>
      <w:r w:rsidR="008667D1">
        <w:rPr>
          <w:rFonts w:ascii="Arial" w:hAnsi="Arial" w:cs="Arial"/>
          <w:b/>
          <w:bCs/>
        </w:rPr>
        <w:t xml:space="preserve"> (OTC)</w:t>
      </w:r>
      <w:r w:rsidRPr="00CA129A">
        <w:rPr>
          <w:rFonts w:ascii="Arial" w:hAnsi="Arial" w:cs="Arial"/>
          <w:b/>
          <w:bCs/>
        </w:rPr>
        <w:t xml:space="preserve"> medication</w:t>
      </w:r>
    </w:p>
    <w:p w14:paraId="00091101" w14:textId="77777777" w:rsidR="00B94CF1" w:rsidRPr="00CA129A" w:rsidRDefault="00B94CF1" w:rsidP="00B94CF1">
      <w:pPr>
        <w:spacing w:before="100" w:beforeAutospacing="1" w:after="100" w:afterAutospacing="1"/>
        <w:rPr>
          <w:rFonts w:ascii="Arial" w:hAnsi="Arial" w:cs="Arial"/>
          <w:bCs/>
        </w:rPr>
      </w:pPr>
      <w:r w:rsidRPr="00CA129A">
        <w:rPr>
          <w:rFonts w:ascii="Arial" w:hAnsi="Arial" w:cs="Arial"/>
          <w:bCs/>
        </w:rPr>
        <w:t xml:space="preserve">The </w:t>
      </w:r>
      <w:proofErr w:type="gramStart"/>
      <w:r w:rsidRPr="00CA129A">
        <w:rPr>
          <w:rFonts w:ascii="Arial" w:hAnsi="Arial" w:cs="Arial"/>
          <w:bCs/>
        </w:rPr>
        <w:t>most commonly abused</w:t>
      </w:r>
      <w:proofErr w:type="gramEnd"/>
      <w:r w:rsidRPr="00CA129A">
        <w:rPr>
          <w:rFonts w:ascii="Arial" w:hAnsi="Arial" w:cs="Arial"/>
          <w:bCs/>
        </w:rPr>
        <w:t xml:space="preserve"> OTC drugs are cough and cold remedies containing dextromethorphan.  People often think that prescription and OTC drugs are safer than illicit drugs, but that’s only true when they are taken exactly as prescribed and for the purpose intended. When abused, prescription and OTC drugs can be addictive and put </w:t>
      </w:r>
      <w:r w:rsidRPr="00CA129A">
        <w:rPr>
          <w:rFonts w:ascii="Arial" w:hAnsi="Arial" w:cs="Arial"/>
          <w:bCs/>
        </w:rPr>
        <w:lastRenderedPageBreak/>
        <w:t>abusers at risk for other adverse health effects, including overdose—especially when taken along with other drugs or alcohol.</w:t>
      </w:r>
      <w:r>
        <w:rPr>
          <w:rStyle w:val="FootnoteReference"/>
          <w:rFonts w:ascii="Arial" w:hAnsi="Arial" w:cs="Arial"/>
          <w:bCs/>
        </w:rPr>
        <w:footnoteReference w:id="11"/>
      </w:r>
    </w:p>
    <w:p w14:paraId="76DDF8E6" w14:textId="77777777" w:rsidR="00075296" w:rsidRPr="00CA129A" w:rsidRDefault="00FF2678" w:rsidP="00075296">
      <w:pPr>
        <w:spacing w:after="150" w:line="285" w:lineRule="atLeast"/>
        <w:rPr>
          <w:rFonts w:ascii="Arial" w:hAnsi="Arial" w:cs="Arial"/>
          <w:b/>
          <w:bCs/>
        </w:rPr>
      </w:pPr>
      <w:r w:rsidRPr="00CA129A">
        <w:rPr>
          <w:rFonts w:ascii="Arial" w:hAnsi="Arial" w:cs="Arial"/>
          <w:b/>
          <w:bCs/>
        </w:rPr>
        <w:t>Caffeine</w:t>
      </w:r>
    </w:p>
    <w:p w14:paraId="3CA28FD5" w14:textId="77777777" w:rsidR="00FF2678" w:rsidRDefault="00FF2678" w:rsidP="00FF2678">
      <w:pPr>
        <w:pStyle w:val="NormalWeb"/>
        <w:rPr>
          <w:rFonts w:ascii="Arial" w:eastAsiaTheme="minorHAnsi" w:hAnsi="Arial" w:cs="Arial"/>
          <w:bCs/>
        </w:rPr>
      </w:pPr>
      <w:r w:rsidRPr="00CA129A">
        <w:rPr>
          <w:rFonts w:ascii="Arial" w:eastAsiaTheme="minorHAnsi" w:hAnsi="Arial" w:cs="Arial"/>
          <w:bCs/>
        </w:rPr>
        <w:t>Bulk bags of pure caffeine powder are readily available online, and these products may be attractive to young people looking for added caffeine stimulation or for help losing weight, but they are extremely dangerous. Just a teaspoon of pure caffeine powder is equivalent to about 25 cups of coffee—a lethal amount. Besides death, severe caffeine overdose can cause fast and erratic heartbeat, seizures, vomiting, diarrhea, and disorientation</w:t>
      </w:r>
      <w:r w:rsidR="00AB450E">
        <w:rPr>
          <w:rFonts w:ascii="Arial" w:eastAsiaTheme="minorHAnsi" w:hAnsi="Arial" w:cs="Arial"/>
          <w:bCs/>
        </w:rPr>
        <w:t xml:space="preserve">. </w:t>
      </w:r>
      <w:r w:rsidRPr="00CA129A">
        <w:rPr>
          <w:rFonts w:ascii="Arial" w:eastAsiaTheme="minorHAnsi" w:hAnsi="Arial" w:cs="Arial"/>
          <w:bCs/>
        </w:rPr>
        <w:t>Although caffeine is generally safe at the dosages contained in popular beverages, caffeine powder is so potent that safe amounts cannot be measured with ordinary kitchen measuring tools, making it very easy to overdose on them even when users are aware of their potency.</w:t>
      </w:r>
      <w:r w:rsidR="008E73B6">
        <w:rPr>
          <w:rStyle w:val="FootnoteReference"/>
          <w:rFonts w:ascii="Arial" w:eastAsiaTheme="minorHAnsi" w:hAnsi="Arial" w:cs="Arial"/>
          <w:bCs/>
        </w:rPr>
        <w:footnoteReference w:id="12"/>
      </w:r>
      <w:r w:rsidRPr="00CA129A">
        <w:rPr>
          <w:rFonts w:ascii="Arial" w:eastAsiaTheme="minorHAnsi" w:hAnsi="Arial" w:cs="Arial"/>
          <w:bCs/>
        </w:rPr>
        <w:t xml:space="preserve"> </w:t>
      </w:r>
    </w:p>
    <w:p w14:paraId="4374C4CE" w14:textId="77777777" w:rsidR="00FF2678" w:rsidRPr="00075296" w:rsidRDefault="00FF2678" w:rsidP="00075296">
      <w:pPr>
        <w:spacing w:after="150" w:line="285" w:lineRule="atLeast"/>
        <w:rPr>
          <w:rFonts w:ascii="Arial" w:hAnsi="Arial" w:cs="Arial"/>
        </w:rPr>
      </w:pPr>
    </w:p>
    <w:p w14:paraId="71AEF849" w14:textId="77777777" w:rsidR="00075296" w:rsidRPr="00075296" w:rsidRDefault="00075296" w:rsidP="00075296">
      <w:pPr>
        <w:spacing w:after="150" w:line="285" w:lineRule="atLeast"/>
        <w:rPr>
          <w:rFonts w:ascii="Arial" w:hAnsi="Arial" w:cs="Arial"/>
          <w:u w:val="single"/>
        </w:rPr>
      </w:pPr>
      <w:r w:rsidRPr="00075296">
        <w:rPr>
          <w:rFonts w:ascii="Arial" w:hAnsi="Arial" w:cs="Arial"/>
          <w:b/>
          <w:bCs/>
          <w:u w:val="single"/>
        </w:rPr>
        <w:t>COUNSELING AND TREATMENT FOR ALCOHOL AND DRUG ABUSE</w:t>
      </w:r>
    </w:p>
    <w:p w14:paraId="60780679"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Alcohol and drug abuse are multifaceted disorders involving psychological, environmental, and biological factors. The goals of treatment for substance abuse vary depending on the severity of the problem. At times a person may be unwilling to enter treatment because he or she is unable to acknowledge or accept that the use of alcohol or drugs is playing a harmful role in his or her life. In these instances, a planned supportive intervention by family, friends, employers, and health professionals may be a useful first step toward getting such a person to accept help. </w:t>
      </w:r>
    </w:p>
    <w:p w14:paraId="779D36D5"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Since any one treatment approach may emphasize only one </w:t>
      </w:r>
      <w:proofErr w:type="gramStart"/>
      <w:r w:rsidRPr="00075296">
        <w:rPr>
          <w:rFonts w:ascii="Arial" w:hAnsi="Arial" w:cs="Arial"/>
        </w:rPr>
        <w:t>particular etiologic</w:t>
      </w:r>
      <w:proofErr w:type="gramEnd"/>
      <w:r w:rsidRPr="00075296">
        <w:rPr>
          <w:rFonts w:ascii="Arial" w:hAnsi="Arial" w:cs="Arial"/>
        </w:rPr>
        <w:t xml:space="preserve"> factor, therapy programs have been designed to address multiple factors and various stages of recovery. Treatment settings may be in-patient or out-patient and may involve individual therapy, group therapy, family therapy, medications, or a combination of these. Educational and family therapies can outline facts and clarify myths about substance abuse and address disordered patterns of family and social interactions. Self-help groups such as Alcoholics Anonymous and Narcotics Anonymous are important resources for long-term support, continued abstinence, and social rehabilitation. Lastly, individual and group therapy may </w:t>
      </w:r>
      <w:proofErr w:type="gramStart"/>
      <w:r w:rsidRPr="00075296">
        <w:rPr>
          <w:rFonts w:ascii="Arial" w:hAnsi="Arial" w:cs="Arial"/>
        </w:rPr>
        <w:t>be helpful in understanding</w:t>
      </w:r>
      <w:proofErr w:type="gramEnd"/>
      <w:r w:rsidRPr="00075296">
        <w:rPr>
          <w:rFonts w:ascii="Arial" w:hAnsi="Arial" w:cs="Arial"/>
        </w:rPr>
        <w:t xml:space="preserve"> behaviors and motivations that lead to abuse, in fostering the person's self-esteem and ability to cope with stress, and in addressing related or co-occurring psychological difficulties. </w:t>
      </w:r>
    </w:p>
    <w:p w14:paraId="654D7247"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Abstinence is recommended once a person has become dependent on alcohol or another drug.  However, medical attention may be necessary to address both the mild and the potentially life-threatening complications of substance abuse. Under certain circumstances, medications and/or Medicated Assisted Treatments may be useful to </w:t>
      </w:r>
      <w:r w:rsidRPr="00075296">
        <w:rPr>
          <w:rFonts w:ascii="Arial" w:hAnsi="Arial" w:cs="Arial"/>
        </w:rPr>
        <w:lastRenderedPageBreak/>
        <w:t xml:space="preserve">reduce the craving for alcohol or other drugs and to deter further use of these substances.  Medication may also be required to make the detoxification process safe, since withdrawal from alcohol, prescription drugs, heroin, and many other drugs may be distressing and even potentially fatal. </w:t>
      </w:r>
    </w:p>
    <w:p w14:paraId="6725F305" w14:textId="77777777" w:rsidR="00075296" w:rsidRPr="00075296" w:rsidRDefault="00075296" w:rsidP="00075296">
      <w:pPr>
        <w:spacing w:after="150" w:line="285" w:lineRule="atLeast"/>
        <w:rPr>
          <w:rFonts w:ascii="Arial" w:hAnsi="Arial" w:cs="Arial"/>
        </w:rPr>
      </w:pPr>
    </w:p>
    <w:p w14:paraId="35E8EFDE" w14:textId="77777777" w:rsidR="00561FC1" w:rsidRPr="00075296" w:rsidRDefault="00561FC1" w:rsidP="00561FC1">
      <w:pPr>
        <w:spacing w:after="150" w:line="285" w:lineRule="atLeast"/>
        <w:rPr>
          <w:rFonts w:ascii="Arial" w:hAnsi="Arial" w:cs="Arial"/>
          <w:b/>
          <w:bCs/>
        </w:rPr>
      </w:pPr>
      <w:r w:rsidRPr="00075296">
        <w:rPr>
          <w:rFonts w:ascii="Arial" w:hAnsi="Arial" w:cs="Arial"/>
          <w:b/>
          <w:bCs/>
        </w:rPr>
        <w:t xml:space="preserve">Substance Abuse Prevention and Treatment for UNH Students </w:t>
      </w:r>
    </w:p>
    <w:p w14:paraId="4446E473" w14:textId="77777777" w:rsidR="00561FC1" w:rsidRPr="00075296" w:rsidRDefault="00561FC1" w:rsidP="00561FC1">
      <w:pPr>
        <w:spacing w:after="150" w:line="285" w:lineRule="atLeast"/>
        <w:rPr>
          <w:rFonts w:ascii="Arial" w:hAnsi="Arial" w:cs="Arial"/>
        </w:rPr>
      </w:pPr>
      <w:r w:rsidRPr="00075296">
        <w:rPr>
          <w:rFonts w:ascii="Arial" w:hAnsi="Arial" w:cs="Arial"/>
        </w:rPr>
        <w:t xml:space="preserve">Counseling and Psychological Services offers both individual and group psychotherapy for </w:t>
      </w:r>
      <w:r w:rsidR="000C6CA7">
        <w:rPr>
          <w:rFonts w:ascii="Arial" w:hAnsi="Arial" w:cs="Arial"/>
        </w:rPr>
        <w:t>students struggling with substance use</w:t>
      </w:r>
      <w:r w:rsidRPr="00075296">
        <w:rPr>
          <w:rFonts w:ascii="Arial" w:hAnsi="Arial" w:cs="Arial"/>
        </w:rPr>
        <w:t xml:space="preserve"> who are either </w:t>
      </w:r>
      <w:r w:rsidR="00F4507C" w:rsidRPr="00075296">
        <w:rPr>
          <w:rFonts w:ascii="Arial" w:hAnsi="Arial" w:cs="Arial"/>
        </w:rPr>
        <w:t>self-referred</w:t>
      </w:r>
      <w:r w:rsidRPr="00075296">
        <w:rPr>
          <w:rFonts w:ascii="Arial" w:hAnsi="Arial" w:cs="Arial"/>
        </w:rPr>
        <w:t xml:space="preserve"> or referred through other university departments.  The Counseling and Psychological Services works closely with staff from the Dean of Students Office, Residential Life, Health Services, and Department of Athletics to ensure a holistic approach to supporting student’s substance abuse concerns.</w:t>
      </w:r>
    </w:p>
    <w:p w14:paraId="6EB6F095" w14:textId="0894F614" w:rsidR="00561FC1" w:rsidRPr="00075296" w:rsidRDefault="00561FC1" w:rsidP="00561FC1">
      <w:pPr>
        <w:spacing w:after="150" w:line="285" w:lineRule="atLeast"/>
        <w:rPr>
          <w:rFonts w:ascii="Arial" w:hAnsi="Arial" w:cs="Arial"/>
        </w:rPr>
      </w:pPr>
      <w:r w:rsidRPr="00075296">
        <w:rPr>
          <w:rFonts w:ascii="Arial" w:hAnsi="Arial" w:cs="Arial"/>
        </w:rPr>
        <w:t xml:space="preserve">The </w:t>
      </w:r>
      <w:r>
        <w:rPr>
          <w:rFonts w:ascii="Arial" w:hAnsi="Arial" w:cs="Arial"/>
        </w:rPr>
        <w:t xml:space="preserve">University provides </w:t>
      </w:r>
      <w:r w:rsidRPr="00075296">
        <w:rPr>
          <w:rFonts w:ascii="Arial" w:hAnsi="Arial" w:cs="Arial"/>
        </w:rPr>
        <w:t xml:space="preserve">prevention and education for students through an Alcohol and Drug Education Program for </w:t>
      </w:r>
      <w:r w:rsidR="00900BDC">
        <w:rPr>
          <w:rFonts w:ascii="Arial" w:hAnsi="Arial" w:cs="Arial"/>
        </w:rPr>
        <w:t xml:space="preserve">incoming students </w:t>
      </w:r>
      <w:r>
        <w:rPr>
          <w:rFonts w:ascii="Arial" w:hAnsi="Arial" w:cs="Arial"/>
        </w:rPr>
        <w:t>called</w:t>
      </w:r>
      <w:r w:rsidRPr="00075296">
        <w:rPr>
          <w:rFonts w:ascii="Arial" w:hAnsi="Arial" w:cs="Arial"/>
        </w:rPr>
        <w:t xml:space="preserve"> </w:t>
      </w:r>
      <w:r w:rsidR="00CA129A">
        <w:rPr>
          <w:rFonts w:ascii="Arial" w:hAnsi="Arial" w:cs="Arial"/>
        </w:rPr>
        <w:t>“</w:t>
      </w:r>
      <w:r w:rsidR="00900BDC">
        <w:rPr>
          <w:rFonts w:ascii="Arial" w:hAnsi="Arial" w:cs="Arial"/>
        </w:rPr>
        <w:t>Alcoholedu”</w:t>
      </w:r>
      <w:r w:rsidRPr="00075296">
        <w:rPr>
          <w:rFonts w:ascii="Arial" w:hAnsi="Arial" w:cs="Arial"/>
        </w:rPr>
        <w:t xml:space="preserve"> as well as a brief group therapy intervention (BASICS) for students who have been identified as “at risk”, or are mandated </w:t>
      </w:r>
      <w:r>
        <w:rPr>
          <w:rFonts w:ascii="Arial" w:hAnsi="Arial" w:cs="Arial"/>
        </w:rPr>
        <w:t xml:space="preserve">to attend </w:t>
      </w:r>
      <w:r w:rsidRPr="00075296">
        <w:rPr>
          <w:rFonts w:ascii="Arial" w:hAnsi="Arial" w:cs="Arial"/>
        </w:rPr>
        <w:t>due to a violation of the Substance Abuse Policy in the U</w:t>
      </w:r>
      <w:r w:rsidR="003440DE">
        <w:rPr>
          <w:rFonts w:ascii="Arial" w:hAnsi="Arial" w:cs="Arial"/>
        </w:rPr>
        <w:t xml:space="preserve">niversity of New Haven </w:t>
      </w:r>
      <w:r w:rsidRPr="00075296">
        <w:rPr>
          <w:rFonts w:ascii="Arial" w:hAnsi="Arial" w:cs="Arial"/>
        </w:rPr>
        <w:t xml:space="preserve">Student Handbook.  </w:t>
      </w:r>
      <w:r>
        <w:rPr>
          <w:rFonts w:ascii="Arial" w:hAnsi="Arial" w:cs="Arial"/>
        </w:rPr>
        <w:t>In addition</w:t>
      </w:r>
      <w:r w:rsidR="00D66FBA">
        <w:rPr>
          <w:rFonts w:ascii="Arial" w:hAnsi="Arial" w:cs="Arial"/>
        </w:rPr>
        <w:t>,</w:t>
      </w:r>
      <w:r w:rsidRPr="00075296">
        <w:rPr>
          <w:rFonts w:ascii="Arial" w:hAnsi="Arial" w:cs="Arial"/>
        </w:rPr>
        <w:t xml:space="preserve"> a </w:t>
      </w:r>
      <w:r>
        <w:rPr>
          <w:rFonts w:ascii="Arial" w:hAnsi="Arial" w:cs="Arial"/>
        </w:rPr>
        <w:t>s</w:t>
      </w:r>
      <w:r w:rsidRPr="00075296">
        <w:rPr>
          <w:rFonts w:ascii="Arial" w:hAnsi="Arial" w:cs="Arial"/>
        </w:rPr>
        <w:t xml:space="preserve">ubstance </w:t>
      </w:r>
      <w:proofErr w:type="gramStart"/>
      <w:r w:rsidRPr="00075296">
        <w:rPr>
          <w:rFonts w:ascii="Arial" w:hAnsi="Arial" w:cs="Arial"/>
        </w:rPr>
        <w:t>use</w:t>
      </w:r>
      <w:proofErr w:type="gramEnd"/>
      <w:r w:rsidRPr="00075296">
        <w:rPr>
          <w:rFonts w:ascii="Arial" w:hAnsi="Arial" w:cs="Arial"/>
        </w:rPr>
        <w:t xml:space="preserve"> task force </w:t>
      </w:r>
      <w:r>
        <w:rPr>
          <w:rFonts w:ascii="Arial" w:hAnsi="Arial" w:cs="Arial"/>
        </w:rPr>
        <w:t>comprised</w:t>
      </w:r>
      <w:r w:rsidRPr="00075296">
        <w:rPr>
          <w:rFonts w:ascii="Arial" w:hAnsi="Arial" w:cs="Arial"/>
        </w:rPr>
        <w:t xml:space="preserve"> of student affairs staff, faculty, and students addresses </w:t>
      </w:r>
      <w:r>
        <w:rPr>
          <w:rFonts w:ascii="Arial" w:hAnsi="Arial" w:cs="Arial"/>
        </w:rPr>
        <w:t>behavioral</w:t>
      </w:r>
      <w:r w:rsidRPr="00075296">
        <w:rPr>
          <w:rFonts w:ascii="Arial" w:hAnsi="Arial" w:cs="Arial"/>
        </w:rPr>
        <w:t xml:space="preserve"> concerns</w:t>
      </w:r>
      <w:r>
        <w:rPr>
          <w:rFonts w:ascii="Arial" w:hAnsi="Arial" w:cs="Arial"/>
        </w:rPr>
        <w:t xml:space="preserve"> related to substance use, and implements</w:t>
      </w:r>
      <w:r w:rsidRPr="00075296">
        <w:rPr>
          <w:rFonts w:ascii="Arial" w:hAnsi="Arial" w:cs="Arial"/>
        </w:rPr>
        <w:t xml:space="preserve"> policy updates</w:t>
      </w:r>
      <w:r>
        <w:rPr>
          <w:rFonts w:ascii="Arial" w:hAnsi="Arial" w:cs="Arial"/>
        </w:rPr>
        <w:t xml:space="preserve"> as necessary.</w:t>
      </w:r>
    </w:p>
    <w:p w14:paraId="7B38780A" w14:textId="77777777" w:rsidR="00561FC1" w:rsidRPr="00075296" w:rsidRDefault="00561FC1" w:rsidP="00561FC1">
      <w:pPr>
        <w:spacing w:after="150" w:line="285" w:lineRule="atLeast"/>
        <w:rPr>
          <w:rFonts w:ascii="Arial" w:hAnsi="Arial" w:cs="Arial"/>
        </w:rPr>
      </w:pPr>
      <w:r w:rsidRPr="00075296">
        <w:rPr>
          <w:rFonts w:ascii="Arial" w:hAnsi="Arial" w:cs="Arial"/>
        </w:rPr>
        <w:t>If any student has a legal matter related to a substance abuse issue, or is in need of support services outside of Counseling and Psychological Services and Health Services, students are referred to appropriate local and regional substance abuse treatment facilities and self-help groups.</w:t>
      </w:r>
    </w:p>
    <w:p w14:paraId="406217D6" w14:textId="77777777" w:rsidR="00075296" w:rsidRPr="00075296" w:rsidRDefault="00075296" w:rsidP="00075296">
      <w:pPr>
        <w:spacing w:after="150" w:line="285" w:lineRule="atLeast"/>
        <w:rPr>
          <w:rFonts w:ascii="Arial" w:hAnsi="Arial" w:cs="Arial"/>
        </w:rPr>
      </w:pPr>
    </w:p>
    <w:p w14:paraId="3A0D1D4E" w14:textId="77777777" w:rsidR="00714F5B" w:rsidRPr="00714F5B" w:rsidRDefault="00714F5B" w:rsidP="00714F5B">
      <w:pPr>
        <w:spacing w:after="150" w:line="285" w:lineRule="atLeast"/>
        <w:rPr>
          <w:rFonts w:ascii="Arial" w:hAnsi="Arial" w:cs="Arial"/>
          <w:b/>
          <w:bCs/>
          <w:sz w:val="22"/>
          <w:szCs w:val="22"/>
        </w:rPr>
      </w:pPr>
      <w:r w:rsidRPr="00714F5B">
        <w:rPr>
          <w:rFonts w:ascii="Arial" w:hAnsi="Arial" w:cs="Arial"/>
          <w:b/>
          <w:bCs/>
        </w:rPr>
        <w:t>Substance Abuse Treatment for University Staff and Faculty</w:t>
      </w:r>
    </w:p>
    <w:p w14:paraId="242A1F2A" w14:textId="011276FA" w:rsidR="00714F5B" w:rsidRPr="001663D1" w:rsidRDefault="00714F5B" w:rsidP="00714F5B">
      <w:pPr>
        <w:autoSpaceDE w:val="0"/>
        <w:autoSpaceDN w:val="0"/>
        <w:rPr>
          <w:rFonts w:ascii="Arial" w:hAnsi="Arial" w:cs="Arial"/>
        </w:rPr>
      </w:pPr>
      <w:r w:rsidRPr="001663D1">
        <w:rPr>
          <w:rFonts w:ascii="Arial" w:hAnsi="Arial" w:cs="Arial"/>
        </w:rPr>
        <w:t xml:space="preserve">The University of New Haven provides eligible employees with access to medical plans and a separate employee assistance program.  Both programs may </w:t>
      </w:r>
      <w:proofErr w:type="gramStart"/>
      <w:r w:rsidRPr="001663D1">
        <w:rPr>
          <w:rFonts w:ascii="Arial" w:hAnsi="Arial" w:cs="Arial"/>
        </w:rPr>
        <w:t>provide assistance to</w:t>
      </w:r>
      <w:proofErr w:type="gramEnd"/>
      <w:r w:rsidRPr="001663D1">
        <w:rPr>
          <w:rFonts w:ascii="Arial" w:hAnsi="Arial" w:cs="Arial"/>
        </w:rPr>
        <w:t xml:space="preserve"> those employees, and their eligible dependents, suffering from alcohol and/or drug dependency issues.  Additionally, the University provides extensive educational materials in </w:t>
      </w:r>
      <w:r w:rsidRPr="001663D1">
        <w:rPr>
          <w:rFonts w:ascii="Arial" w:hAnsi="Arial" w:cs="Arial"/>
          <w:color w:val="000000"/>
        </w:rPr>
        <w:t>the Health Library section of the health plan website:  </w:t>
      </w:r>
      <w:hyperlink r:id="rId15" w:history="1">
        <w:r w:rsidRPr="001663D1">
          <w:rPr>
            <w:rStyle w:val="Hyperlink"/>
            <w:rFonts w:ascii="Arial" w:hAnsi="Arial" w:cs="Arial"/>
          </w:rPr>
          <w:t>www.UNHHealthPlan.com</w:t>
        </w:r>
      </w:hyperlink>
    </w:p>
    <w:p w14:paraId="7EFA6253" w14:textId="77777777" w:rsidR="00714F5B" w:rsidRPr="001663D1" w:rsidRDefault="00714F5B" w:rsidP="00714F5B">
      <w:pPr>
        <w:autoSpaceDE w:val="0"/>
        <w:autoSpaceDN w:val="0"/>
        <w:rPr>
          <w:rFonts w:ascii="Arial" w:hAnsi="Arial" w:cs="Arial"/>
        </w:rPr>
      </w:pPr>
    </w:p>
    <w:p w14:paraId="669B02B6" w14:textId="77777777" w:rsidR="00714F5B" w:rsidRPr="001663D1" w:rsidRDefault="00714F5B" w:rsidP="00714F5B">
      <w:pPr>
        <w:autoSpaceDE w:val="0"/>
        <w:autoSpaceDN w:val="0"/>
        <w:rPr>
          <w:rFonts w:ascii="Arial" w:hAnsi="Arial" w:cs="Arial"/>
        </w:rPr>
      </w:pPr>
      <w:r w:rsidRPr="001663D1">
        <w:rPr>
          <w:rFonts w:ascii="Arial" w:hAnsi="Arial" w:cs="Arial"/>
          <w:color w:val="000000"/>
        </w:rPr>
        <w:t xml:space="preserve">The information provided on the website include educational materials such as articles and/or videos on: </w:t>
      </w:r>
    </w:p>
    <w:p w14:paraId="63C3E3FF" w14:textId="77777777" w:rsidR="00714F5B" w:rsidRPr="001663D1" w:rsidRDefault="00714F5B" w:rsidP="00714F5B">
      <w:pPr>
        <w:numPr>
          <w:ilvl w:val="0"/>
          <w:numId w:val="1"/>
        </w:numPr>
        <w:autoSpaceDE w:val="0"/>
        <w:autoSpaceDN w:val="0"/>
        <w:spacing w:before="40" w:after="40"/>
        <w:rPr>
          <w:rFonts w:ascii="Arial" w:eastAsia="Times New Roman" w:hAnsi="Arial" w:cs="Arial"/>
        </w:rPr>
      </w:pPr>
      <w:r w:rsidRPr="001663D1">
        <w:rPr>
          <w:rFonts w:ascii="Arial" w:eastAsia="Times New Roman" w:hAnsi="Arial" w:cs="Arial"/>
        </w:rPr>
        <w:t xml:space="preserve">Alcohol and Drug Use </w:t>
      </w:r>
    </w:p>
    <w:p w14:paraId="6D0E8C58" w14:textId="77777777" w:rsidR="00714F5B" w:rsidRPr="001663D1" w:rsidRDefault="00714F5B" w:rsidP="00714F5B">
      <w:pPr>
        <w:numPr>
          <w:ilvl w:val="0"/>
          <w:numId w:val="1"/>
        </w:numPr>
        <w:autoSpaceDE w:val="0"/>
        <w:autoSpaceDN w:val="0"/>
        <w:rPr>
          <w:rFonts w:ascii="Arial" w:eastAsia="Times New Roman" w:hAnsi="Arial" w:cs="Arial"/>
        </w:rPr>
      </w:pPr>
      <w:r w:rsidRPr="001663D1">
        <w:rPr>
          <w:rFonts w:ascii="Arial" w:eastAsia="Times New Roman" w:hAnsi="Arial" w:cs="Arial"/>
        </w:rPr>
        <w:t xml:space="preserve">Planning for Alcohol or Drug Relapse  </w:t>
      </w:r>
    </w:p>
    <w:p w14:paraId="622AFC96" w14:textId="55B11862" w:rsidR="00714F5B" w:rsidRPr="001663D1" w:rsidRDefault="00714F5B" w:rsidP="00714F5B">
      <w:pPr>
        <w:numPr>
          <w:ilvl w:val="0"/>
          <w:numId w:val="1"/>
        </w:numPr>
        <w:autoSpaceDE w:val="0"/>
        <w:autoSpaceDN w:val="0"/>
        <w:rPr>
          <w:rFonts w:ascii="Arial" w:eastAsia="Times New Roman" w:hAnsi="Arial" w:cs="Arial"/>
        </w:rPr>
      </w:pPr>
      <w:r w:rsidRPr="001663D1">
        <w:rPr>
          <w:rFonts w:ascii="Arial" w:eastAsia="Times New Roman" w:hAnsi="Arial" w:cs="Arial"/>
        </w:rPr>
        <w:t xml:space="preserve">Substance Use Disorder / Treatment Option  </w:t>
      </w:r>
    </w:p>
    <w:p w14:paraId="2628E0A2" w14:textId="77777777" w:rsidR="00714F5B" w:rsidRPr="001663D1" w:rsidRDefault="00714F5B" w:rsidP="00714F5B">
      <w:pPr>
        <w:numPr>
          <w:ilvl w:val="0"/>
          <w:numId w:val="1"/>
        </w:numPr>
        <w:autoSpaceDE w:val="0"/>
        <w:autoSpaceDN w:val="0"/>
        <w:rPr>
          <w:rFonts w:ascii="Arial" w:eastAsia="Times New Roman" w:hAnsi="Arial" w:cs="Arial"/>
        </w:rPr>
      </w:pPr>
      <w:r w:rsidRPr="001663D1">
        <w:rPr>
          <w:rFonts w:ascii="Arial" w:eastAsia="Times New Roman" w:hAnsi="Arial" w:cs="Arial"/>
        </w:rPr>
        <w:t xml:space="preserve">Substance Use Problems / misuse in teens and adults and resources for cutting back or stopping drug and alcohol use.  </w:t>
      </w:r>
    </w:p>
    <w:p w14:paraId="093E6E0A" w14:textId="77777777" w:rsidR="00714F5B" w:rsidRPr="001663D1" w:rsidRDefault="00714F5B" w:rsidP="00714F5B">
      <w:pPr>
        <w:numPr>
          <w:ilvl w:val="0"/>
          <w:numId w:val="1"/>
        </w:numPr>
        <w:autoSpaceDE w:val="0"/>
        <w:autoSpaceDN w:val="0"/>
        <w:rPr>
          <w:rFonts w:ascii="Arial" w:eastAsia="Times New Roman" w:hAnsi="Arial" w:cs="Arial"/>
        </w:rPr>
      </w:pPr>
      <w:r w:rsidRPr="001663D1">
        <w:rPr>
          <w:rFonts w:ascii="Arial" w:eastAsia="Times New Roman" w:hAnsi="Arial" w:cs="Arial"/>
        </w:rPr>
        <w:t xml:space="preserve">Signs of Drug Use  </w:t>
      </w:r>
    </w:p>
    <w:p w14:paraId="3B10182D" w14:textId="77777777" w:rsidR="00714F5B" w:rsidRPr="001663D1" w:rsidRDefault="00714F5B" w:rsidP="00714F5B">
      <w:pPr>
        <w:numPr>
          <w:ilvl w:val="0"/>
          <w:numId w:val="1"/>
        </w:numPr>
        <w:autoSpaceDE w:val="0"/>
        <w:autoSpaceDN w:val="0"/>
        <w:rPr>
          <w:rFonts w:ascii="Arial" w:eastAsia="Times New Roman" w:hAnsi="Arial" w:cs="Arial"/>
        </w:rPr>
      </w:pPr>
      <w:r w:rsidRPr="001663D1">
        <w:rPr>
          <w:rFonts w:ascii="Arial" w:eastAsia="Times New Roman" w:hAnsi="Arial" w:cs="Arial"/>
        </w:rPr>
        <w:lastRenderedPageBreak/>
        <w:t xml:space="preserve">Drug Withdrawal: What to Expect, </w:t>
      </w:r>
      <w:proofErr w:type="gramStart"/>
      <w:r w:rsidRPr="001663D1">
        <w:rPr>
          <w:rFonts w:ascii="Arial" w:eastAsia="Times New Roman" w:hAnsi="Arial" w:cs="Arial"/>
        </w:rPr>
        <w:t>Learn</w:t>
      </w:r>
      <w:proofErr w:type="gramEnd"/>
      <w:r w:rsidRPr="001663D1">
        <w:rPr>
          <w:rFonts w:ascii="Arial" w:eastAsia="Times New Roman" w:hAnsi="Arial" w:cs="Arial"/>
        </w:rPr>
        <w:t xml:space="preserve"> what's happening to your body during drug withdrawal.  </w:t>
      </w:r>
    </w:p>
    <w:p w14:paraId="737C4612" w14:textId="77777777" w:rsidR="00714F5B" w:rsidRPr="001663D1" w:rsidRDefault="00714F5B" w:rsidP="00714F5B">
      <w:pPr>
        <w:numPr>
          <w:ilvl w:val="0"/>
          <w:numId w:val="1"/>
        </w:numPr>
        <w:autoSpaceDE w:val="0"/>
        <w:autoSpaceDN w:val="0"/>
        <w:rPr>
          <w:rFonts w:ascii="Arial" w:eastAsia="Times New Roman" w:hAnsi="Arial" w:cs="Arial"/>
        </w:rPr>
      </w:pPr>
      <w:r w:rsidRPr="001663D1">
        <w:rPr>
          <w:rFonts w:ascii="Arial" w:eastAsia="Times New Roman" w:hAnsi="Arial" w:cs="Arial"/>
        </w:rPr>
        <w:t xml:space="preserve">Assess Your Drug Use  </w:t>
      </w:r>
    </w:p>
    <w:p w14:paraId="01990493" w14:textId="77777777" w:rsidR="00714F5B" w:rsidRPr="001663D1" w:rsidRDefault="00714F5B" w:rsidP="00714F5B">
      <w:pPr>
        <w:numPr>
          <w:ilvl w:val="0"/>
          <w:numId w:val="1"/>
        </w:numPr>
        <w:autoSpaceDE w:val="0"/>
        <w:autoSpaceDN w:val="0"/>
        <w:rPr>
          <w:rFonts w:ascii="Arial" w:eastAsia="Times New Roman" w:hAnsi="Arial" w:cs="Arial"/>
        </w:rPr>
      </w:pPr>
      <w:r w:rsidRPr="001663D1">
        <w:rPr>
          <w:rFonts w:ascii="Arial" w:eastAsia="Times New Roman" w:hAnsi="Arial" w:cs="Arial"/>
        </w:rPr>
        <w:t xml:space="preserve">Teen Alcohol and Drug Use  </w:t>
      </w:r>
    </w:p>
    <w:p w14:paraId="66511B65" w14:textId="77777777" w:rsidR="00714F5B" w:rsidRPr="001663D1" w:rsidRDefault="00714F5B" w:rsidP="00714F5B">
      <w:pPr>
        <w:numPr>
          <w:ilvl w:val="0"/>
          <w:numId w:val="1"/>
        </w:numPr>
        <w:autoSpaceDE w:val="0"/>
        <w:autoSpaceDN w:val="0"/>
        <w:rPr>
          <w:rFonts w:ascii="Arial" w:eastAsia="Times New Roman" w:hAnsi="Arial" w:cs="Arial"/>
        </w:rPr>
      </w:pPr>
      <w:r w:rsidRPr="001663D1">
        <w:rPr>
          <w:rFonts w:ascii="Arial" w:eastAsia="Times New Roman" w:hAnsi="Arial" w:cs="Arial"/>
        </w:rPr>
        <w:t>Drug Problems: Helping Someone Get Treatment</w:t>
      </w:r>
    </w:p>
    <w:p w14:paraId="5094E109" w14:textId="77777777" w:rsidR="00714F5B" w:rsidRPr="001663D1" w:rsidRDefault="00714F5B" w:rsidP="00714F5B">
      <w:pPr>
        <w:numPr>
          <w:ilvl w:val="0"/>
          <w:numId w:val="1"/>
        </w:numPr>
        <w:autoSpaceDE w:val="0"/>
        <w:autoSpaceDN w:val="0"/>
        <w:rPr>
          <w:rFonts w:ascii="Arial" w:eastAsia="Times New Roman" w:hAnsi="Arial" w:cs="Arial"/>
        </w:rPr>
      </w:pPr>
      <w:r w:rsidRPr="001663D1">
        <w:rPr>
          <w:rFonts w:ascii="Arial" w:eastAsia="Times New Roman" w:hAnsi="Arial" w:cs="Arial"/>
        </w:rPr>
        <w:t>Substance Use: Staying Alcohol- or Drug-Free After Treatment</w:t>
      </w:r>
    </w:p>
    <w:p w14:paraId="7A89F86C" w14:textId="77777777" w:rsidR="00714F5B" w:rsidRPr="001663D1" w:rsidRDefault="00714F5B" w:rsidP="00714F5B">
      <w:pPr>
        <w:numPr>
          <w:ilvl w:val="0"/>
          <w:numId w:val="1"/>
        </w:numPr>
        <w:autoSpaceDE w:val="0"/>
        <w:autoSpaceDN w:val="0"/>
        <w:rPr>
          <w:rFonts w:ascii="Arial" w:eastAsia="Times New Roman" w:hAnsi="Arial" w:cs="Arial"/>
        </w:rPr>
      </w:pPr>
      <w:r w:rsidRPr="001663D1">
        <w:rPr>
          <w:rFonts w:ascii="Arial" w:eastAsia="Times New Roman" w:hAnsi="Arial" w:cs="Arial"/>
        </w:rPr>
        <w:t xml:space="preserve">Inpatient and Outpatient Treatment for Substance Use Disorder </w:t>
      </w:r>
    </w:p>
    <w:p w14:paraId="1A0C457E" w14:textId="77777777" w:rsidR="00714F5B" w:rsidRPr="001663D1" w:rsidRDefault="00714F5B" w:rsidP="00714F5B">
      <w:pPr>
        <w:numPr>
          <w:ilvl w:val="0"/>
          <w:numId w:val="1"/>
        </w:numPr>
        <w:autoSpaceDE w:val="0"/>
        <w:autoSpaceDN w:val="0"/>
        <w:rPr>
          <w:rFonts w:ascii="Arial" w:eastAsia="Times New Roman" w:hAnsi="Arial" w:cs="Arial"/>
        </w:rPr>
      </w:pPr>
      <w:r w:rsidRPr="001663D1">
        <w:rPr>
          <w:rFonts w:ascii="Arial" w:eastAsia="Times New Roman" w:hAnsi="Arial" w:cs="Arial"/>
        </w:rPr>
        <w:t>LSD, Heroin, Methamphetamine, Cocaine, Ecstasy, Anabolic Steroids</w:t>
      </w:r>
    </w:p>
    <w:p w14:paraId="63D2A8CB" w14:textId="77777777" w:rsidR="00714F5B" w:rsidRPr="001663D1" w:rsidRDefault="00714F5B" w:rsidP="00714F5B">
      <w:pPr>
        <w:numPr>
          <w:ilvl w:val="0"/>
          <w:numId w:val="1"/>
        </w:numPr>
        <w:autoSpaceDE w:val="0"/>
        <w:autoSpaceDN w:val="0"/>
        <w:rPr>
          <w:rFonts w:ascii="Arial" w:eastAsia="Times New Roman" w:hAnsi="Arial" w:cs="Arial"/>
        </w:rPr>
      </w:pPr>
      <w:r w:rsidRPr="001663D1">
        <w:rPr>
          <w:rFonts w:ascii="Arial" w:eastAsia="Times New Roman" w:hAnsi="Arial" w:cs="Arial"/>
        </w:rPr>
        <w:t xml:space="preserve">Prescription Medicine Misuse: Setting Goals for Quitting; learn the simple steps that can help you reach a goal of quitting medicine misuse.  </w:t>
      </w:r>
    </w:p>
    <w:p w14:paraId="23A27287" w14:textId="77777777" w:rsidR="00714F5B" w:rsidRPr="001663D1" w:rsidRDefault="00714F5B" w:rsidP="00714F5B">
      <w:pPr>
        <w:numPr>
          <w:ilvl w:val="0"/>
          <w:numId w:val="1"/>
        </w:numPr>
        <w:autoSpaceDE w:val="0"/>
        <w:autoSpaceDN w:val="0"/>
        <w:rPr>
          <w:rFonts w:ascii="Arial" w:eastAsia="Times New Roman" w:hAnsi="Arial" w:cs="Arial"/>
        </w:rPr>
      </w:pPr>
      <w:r w:rsidRPr="001663D1">
        <w:rPr>
          <w:rFonts w:ascii="Arial" w:eastAsia="Times New Roman" w:hAnsi="Arial" w:cs="Arial"/>
        </w:rPr>
        <w:t xml:space="preserve">Alcohol and Substance Use in PTSD; includes a test to see if you have a problem with alcohol or drugs and steps for getting help.  </w:t>
      </w:r>
    </w:p>
    <w:p w14:paraId="2A106568" w14:textId="77777777" w:rsidR="00714F5B" w:rsidRPr="001663D1" w:rsidRDefault="00714F5B" w:rsidP="00714F5B">
      <w:pPr>
        <w:numPr>
          <w:ilvl w:val="0"/>
          <w:numId w:val="1"/>
        </w:numPr>
        <w:autoSpaceDE w:val="0"/>
        <w:autoSpaceDN w:val="0"/>
        <w:rPr>
          <w:rFonts w:ascii="Arial" w:eastAsia="Times New Roman" w:hAnsi="Arial" w:cs="Arial"/>
        </w:rPr>
      </w:pPr>
      <w:r w:rsidRPr="001663D1">
        <w:rPr>
          <w:rFonts w:ascii="Arial" w:eastAsia="Times New Roman" w:hAnsi="Arial" w:cs="Arial"/>
        </w:rPr>
        <w:t xml:space="preserve">Quitting Smoking: Medicines Increase Success Rates, </w:t>
      </w:r>
      <w:proofErr w:type="gramStart"/>
      <w:r w:rsidRPr="001663D1">
        <w:rPr>
          <w:rFonts w:ascii="Arial" w:eastAsia="Times New Roman" w:hAnsi="Arial" w:cs="Arial"/>
        </w:rPr>
        <w:t>Learn</w:t>
      </w:r>
      <w:proofErr w:type="gramEnd"/>
      <w:r w:rsidRPr="001663D1">
        <w:rPr>
          <w:rFonts w:ascii="Arial" w:eastAsia="Times New Roman" w:hAnsi="Arial" w:cs="Arial"/>
        </w:rPr>
        <w:t xml:space="preserve"> how medicine can double or triple your chances of stopping smoking.  </w:t>
      </w:r>
    </w:p>
    <w:p w14:paraId="520F21BE" w14:textId="77777777" w:rsidR="00714F5B" w:rsidRPr="001663D1" w:rsidRDefault="00714F5B" w:rsidP="00714F5B">
      <w:pPr>
        <w:numPr>
          <w:ilvl w:val="0"/>
          <w:numId w:val="1"/>
        </w:numPr>
        <w:autoSpaceDE w:val="0"/>
        <w:autoSpaceDN w:val="0"/>
        <w:rPr>
          <w:rFonts w:ascii="Arial" w:eastAsia="Times New Roman" w:hAnsi="Arial" w:cs="Arial"/>
        </w:rPr>
      </w:pPr>
      <w:r w:rsidRPr="001663D1">
        <w:rPr>
          <w:rFonts w:ascii="Arial" w:eastAsia="Times New Roman" w:hAnsi="Arial" w:cs="Arial"/>
        </w:rPr>
        <w:t xml:space="preserve">Quitting Smoking: Medicines to Help </w:t>
      </w:r>
      <w:proofErr w:type="gramStart"/>
      <w:r w:rsidRPr="001663D1">
        <w:rPr>
          <w:rFonts w:ascii="Arial" w:eastAsia="Times New Roman" w:hAnsi="Arial" w:cs="Arial"/>
        </w:rPr>
        <w:t>With</w:t>
      </w:r>
      <w:proofErr w:type="gramEnd"/>
      <w:r w:rsidRPr="001663D1">
        <w:rPr>
          <w:rFonts w:ascii="Arial" w:eastAsia="Times New Roman" w:hAnsi="Arial" w:cs="Arial"/>
        </w:rPr>
        <w:t xml:space="preserve"> Cravings, Learn about products and medicines that can take the edge off nicotine cravings.  </w:t>
      </w:r>
    </w:p>
    <w:p w14:paraId="298E637F" w14:textId="77777777" w:rsidR="00714F5B" w:rsidRPr="001663D1" w:rsidRDefault="00714F5B" w:rsidP="00714F5B">
      <w:pPr>
        <w:numPr>
          <w:ilvl w:val="0"/>
          <w:numId w:val="1"/>
        </w:numPr>
        <w:autoSpaceDE w:val="0"/>
        <w:autoSpaceDN w:val="0"/>
        <w:rPr>
          <w:rFonts w:ascii="Arial" w:eastAsia="Times New Roman" w:hAnsi="Arial" w:cs="Arial"/>
        </w:rPr>
      </w:pPr>
      <w:r w:rsidRPr="001663D1">
        <w:rPr>
          <w:rFonts w:ascii="Arial" w:eastAsia="Times New Roman" w:hAnsi="Arial" w:cs="Arial"/>
        </w:rPr>
        <w:t xml:space="preserve">Quit Smoking: How Medicines Can Help, </w:t>
      </w:r>
      <w:proofErr w:type="gramStart"/>
      <w:r w:rsidRPr="001663D1">
        <w:rPr>
          <w:rFonts w:ascii="Arial" w:eastAsia="Times New Roman" w:hAnsi="Arial" w:cs="Arial"/>
        </w:rPr>
        <w:t>Learn</w:t>
      </w:r>
      <w:proofErr w:type="gramEnd"/>
      <w:r w:rsidRPr="001663D1">
        <w:rPr>
          <w:rFonts w:ascii="Arial" w:eastAsia="Times New Roman" w:hAnsi="Arial" w:cs="Arial"/>
        </w:rPr>
        <w:t xml:space="preserve"> how other people quit smoking by using nicotine replacement and other medicines.  </w:t>
      </w:r>
    </w:p>
    <w:p w14:paraId="568BC113" w14:textId="77777777" w:rsidR="00714F5B" w:rsidRPr="001663D1" w:rsidRDefault="00714F5B" w:rsidP="00714F5B">
      <w:pPr>
        <w:numPr>
          <w:ilvl w:val="0"/>
          <w:numId w:val="1"/>
        </w:numPr>
        <w:autoSpaceDE w:val="0"/>
        <w:autoSpaceDN w:val="0"/>
        <w:rPr>
          <w:rFonts w:ascii="Arial" w:eastAsia="Times New Roman" w:hAnsi="Arial" w:cs="Arial"/>
        </w:rPr>
      </w:pPr>
      <w:r w:rsidRPr="001663D1">
        <w:rPr>
          <w:rFonts w:ascii="Arial" w:eastAsia="Times New Roman" w:hAnsi="Arial" w:cs="Arial"/>
        </w:rPr>
        <w:t xml:space="preserve">Residential Treatment for Substance Use  </w:t>
      </w:r>
    </w:p>
    <w:p w14:paraId="4A7AC9BF" w14:textId="77777777" w:rsidR="00714F5B" w:rsidRPr="001663D1" w:rsidRDefault="00714F5B" w:rsidP="00714F5B">
      <w:pPr>
        <w:numPr>
          <w:ilvl w:val="0"/>
          <w:numId w:val="1"/>
        </w:numPr>
        <w:autoSpaceDE w:val="0"/>
        <w:autoSpaceDN w:val="0"/>
        <w:rPr>
          <w:rFonts w:ascii="Arial" w:eastAsia="Times New Roman" w:hAnsi="Arial" w:cs="Arial"/>
        </w:rPr>
      </w:pPr>
      <w:r w:rsidRPr="001663D1">
        <w:rPr>
          <w:rFonts w:ascii="Arial" w:eastAsia="Times New Roman" w:hAnsi="Arial" w:cs="Arial"/>
        </w:rPr>
        <w:t>Prescription Medicine Misuse: Could You Have a Problem?</w:t>
      </w:r>
    </w:p>
    <w:p w14:paraId="565F4CAB" w14:textId="3C6B06A6" w:rsidR="00075296" w:rsidRPr="00075296" w:rsidRDefault="00DC6E6A" w:rsidP="00075296">
      <w:pPr>
        <w:spacing w:after="150" w:line="285" w:lineRule="atLeast"/>
        <w:rPr>
          <w:rFonts w:ascii="Arial" w:hAnsi="Arial" w:cs="Arial"/>
        </w:rPr>
      </w:pPr>
      <w:r>
        <w:rPr>
          <w:rFonts w:ascii="Arial" w:hAnsi="Arial" w:cs="Arial"/>
        </w:rPr>
        <w:t xml:space="preserve"> </w:t>
      </w:r>
    </w:p>
    <w:p w14:paraId="210D2E9D" w14:textId="77777777" w:rsidR="00075296" w:rsidRPr="00075296" w:rsidRDefault="00075296" w:rsidP="00075296">
      <w:pPr>
        <w:spacing w:after="150" w:line="285" w:lineRule="atLeast"/>
        <w:rPr>
          <w:rFonts w:ascii="Arial" w:hAnsi="Arial" w:cs="Arial"/>
          <w:b/>
          <w:bCs/>
        </w:rPr>
      </w:pPr>
      <w:r w:rsidRPr="00075296">
        <w:rPr>
          <w:rFonts w:ascii="Arial" w:hAnsi="Arial" w:cs="Arial"/>
          <w:b/>
          <w:bCs/>
        </w:rPr>
        <w:t xml:space="preserve">Substance Abuse and the Family </w:t>
      </w:r>
    </w:p>
    <w:p w14:paraId="11C2057E"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When family members are substance abusers, there are often far-reaching consequences for the </w:t>
      </w:r>
      <w:proofErr w:type="gramStart"/>
      <w:r w:rsidRPr="00075296">
        <w:rPr>
          <w:rFonts w:ascii="Arial" w:hAnsi="Arial" w:cs="Arial"/>
        </w:rPr>
        <w:t>family as a whole</w:t>
      </w:r>
      <w:proofErr w:type="gramEnd"/>
      <w:r w:rsidRPr="00075296">
        <w:rPr>
          <w:rFonts w:ascii="Arial" w:hAnsi="Arial" w:cs="Arial"/>
        </w:rPr>
        <w:t xml:space="preserve">. The family's social and economic status almost always suffers when the substance abuser becomes unable to perform adequately his or her daily work. Emotional tensions and feelings of desperation may lead to </w:t>
      </w:r>
      <w:r w:rsidR="00DC6E6A" w:rsidRPr="00714F5B">
        <w:rPr>
          <w:rFonts w:ascii="Arial" w:hAnsi="Arial" w:cs="Arial"/>
        </w:rPr>
        <w:t>conflict or even</w:t>
      </w:r>
      <w:r w:rsidR="00DC6E6A">
        <w:rPr>
          <w:rFonts w:ascii="Arial" w:hAnsi="Arial" w:cs="Arial"/>
        </w:rPr>
        <w:t xml:space="preserve"> </w:t>
      </w:r>
      <w:r w:rsidRPr="00075296">
        <w:rPr>
          <w:rFonts w:ascii="Arial" w:hAnsi="Arial" w:cs="Arial"/>
        </w:rPr>
        <w:t xml:space="preserve">violence within the home. </w:t>
      </w:r>
      <w:r w:rsidR="00DC6E6A" w:rsidRPr="00714F5B">
        <w:rPr>
          <w:rFonts w:ascii="Arial" w:hAnsi="Arial" w:cs="Arial"/>
        </w:rPr>
        <w:t>This can include maladaptive behaviors such as stealing</w:t>
      </w:r>
      <w:r w:rsidR="00DC6E6A" w:rsidRPr="00900BDC">
        <w:rPr>
          <w:rFonts w:ascii="Arial" w:hAnsi="Arial" w:cs="Arial"/>
        </w:rPr>
        <w:t xml:space="preserve"> </w:t>
      </w:r>
      <w:r w:rsidRPr="00900BDC">
        <w:rPr>
          <w:rFonts w:ascii="Arial" w:hAnsi="Arial" w:cs="Arial"/>
        </w:rPr>
        <w:t xml:space="preserve">from relatives and employers may occur as the </w:t>
      </w:r>
      <w:r w:rsidR="00DC6E6A" w:rsidRPr="00900BDC">
        <w:rPr>
          <w:rFonts w:ascii="Arial" w:hAnsi="Arial" w:cs="Arial"/>
        </w:rPr>
        <w:t>addiction worsens and cravings intensify</w:t>
      </w:r>
      <w:r w:rsidRPr="00900BDC">
        <w:rPr>
          <w:rFonts w:ascii="Arial" w:hAnsi="Arial" w:cs="Arial"/>
        </w:rPr>
        <w:t>. This may lead to legal proceedings and further undermining of the family's</w:t>
      </w:r>
      <w:r w:rsidRPr="00075296">
        <w:rPr>
          <w:rFonts w:ascii="Arial" w:hAnsi="Arial" w:cs="Arial"/>
        </w:rPr>
        <w:t xml:space="preserve"> financial base. All these consequences usually put a great strain on the family and its cohesive functioning. </w:t>
      </w:r>
    </w:p>
    <w:p w14:paraId="5B597F0D" w14:textId="77777777" w:rsidR="00075296" w:rsidRPr="00075296" w:rsidRDefault="00075296" w:rsidP="00075296">
      <w:pPr>
        <w:spacing w:after="150" w:line="285" w:lineRule="atLeast"/>
        <w:rPr>
          <w:rFonts w:ascii="Arial" w:hAnsi="Arial" w:cs="Arial"/>
        </w:rPr>
      </w:pPr>
      <w:r w:rsidRPr="00075296">
        <w:rPr>
          <w:rFonts w:ascii="Arial" w:hAnsi="Arial" w:cs="Arial"/>
        </w:rPr>
        <w:t xml:space="preserve">Emotionally, family members frequently feel overwhelmed. There is often an attempt to cope with the situation by denying that a problem exists. Family members may also take over the abuser's responsibilities at home and even at work. When this becomes a pattern, it may be difficult for the substance abuser to face the seriousness of his or her problem. Facing the problem is the essential first step toward treatment, and the family is often the key to bringing this about. However, the family may itself </w:t>
      </w:r>
      <w:proofErr w:type="gramStart"/>
      <w:r w:rsidRPr="00075296">
        <w:rPr>
          <w:rFonts w:ascii="Arial" w:hAnsi="Arial" w:cs="Arial"/>
        </w:rPr>
        <w:t>be in need of</w:t>
      </w:r>
      <w:proofErr w:type="gramEnd"/>
      <w:r w:rsidRPr="00075296">
        <w:rPr>
          <w:rFonts w:ascii="Arial" w:hAnsi="Arial" w:cs="Arial"/>
        </w:rPr>
        <w:t xml:space="preserve"> outside support. Alcoholics Anonymous and Narcotics Anonymous sponsor support groups (</w:t>
      </w:r>
      <w:proofErr w:type="spellStart"/>
      <w:r w:rsidRPr="00075296">
        <w:rPr>
          <w:rFonts w:ascii="Arial" w:hAnsi="Arial" w:cs="Arial"/>
        </w:rPr>
        <w:t>AlAnon</w:t>
      </w:r>
      <w:proofErr w:type="spellEnd"/>
      <w:r w:rsidRPr="00075296">
        <w:rPr>
          <w:rFonts w:ascii="Arial" w:hAnsi="Arial" w:cs="Arial"/>
        </w:rPr>
        <w:t xml:space="preserve">, </w:t>
      </w:r>
      <w:proofErr w:type="spellStart"/>
      <w:r w:rsidRPr="00075296">
        <w:rPr>
          <w:rFonts w:ascii="Arial" w:hAnsi="Arial" w:cs="Arial"/>
        </w:rPr>
        <w:t>NARAnon</w:t>
      </w:r>
      <w:proofErr w:type="spellEnd"/>
      <w:r w:rsidRPr="00075296">
        <w:rPr>
          <w:rFonts w:ascii="Arial" w:hAnsi="Arial" w:cs="Arial"/>
        </w:rPr>
        <w:t xml:space="preserve">) for family members. Family therapy can also provide much needed assistance to families as they grapple with the destructive effects of the user's addiction. </w:t>
      </w:r>
    </w:p>
    <w:p w14:paraId="136BEC1E" w14:textId="55CF316D" w:rsidR="00075296" w:rsidRPr="00075296" w:rsidRDefault="00075296" w:rsidP="00075296">
      <w:pPr>
        <w:spacing w:after="150" w:line="285" w:lineRule="atLeast"/>
        <w:rPr>
          <w:rFonts w:ascii="Arial" w:hAnsi="Arial" w:cs="Arial"/>
        </w:rPr>
      </w:pPr>
      <w:r w:rsidRPr="00075296">
        <w:rPr>
          <w:rFonts w:ascii="Arial" w:hAnsi="Arial" w:cs="Arial"/>
        </w:rPr>
        <w:t>Women who abuse alcohol, cocaine, and other addictive substances during pregnancy run the risk of</w:t>
      </w:r>
      <w:r w:rsidR="00DC6E6A">
        <w:rPr>
          <w:rFonts w:ascii="Arial" w:hAnsi="Arial" w:cs="Arial"/>
        </w:rPr>
        <w:t xml:space="preserve"> </w:t>
      </w:r>
      <w:r w:rsidR="00DC6E6A" w:rsidRPr="00900BDC">
        <w:rPr>
          <w:rFonts w:ascii="Arial" w:hAnsi="Arial" w:cs="Arial"/>
        </w:rPr>
        <w:t>still birth as well as</w:t>
      </w:r>
      <w:r w:rsidRPr="00075296">
        <w:rPr>
          <w:rFonts w:ascii="Arial" w:hAnsi="Arial" w:cs="Arial"/>
        </w:rPr>
        <w:t xml:space="preserve"> giving birth to children with intellectual deficits, severe </w:t>
      </w:r>
      <w:r w:rsidRPr="00075296">
        <w:rPr>
          <w:rFonts w:ascii="Arial" w:hAnsi="Arial" w:cs="Arial"/>
        </w:rPr>
        <w:lastRenderedPageBreak/>
        <w:t xml:space="preserve">developmental problems, and physical deformities. The likelihood of damage to the unborn child from drinking is significantly increased by the simultaneous abuse of other substances. </w:t>
      </w:r>
    </w:p>
    <w:p w14:paraId="2E4DFEEF" w14:textId="77777777" w:rsidR="00075296" w:rsidRPr="00075296" w:rsidRDefault="00075296" w:rsidP="00075296">
      <w:pPr>
        <w:spacing w:after="150" w:line="285" w:lineRule="atLeast"/>
        <w:rPr>
          <w:rFonts w:ascii="Arial" w:hAnsi="Arial" w:cs="Arial"/>
        </w:rPr>
      </w:pPr>
    </w:p>
    <w:p w14:paraId="0139EDF8" w14:textId="77777777" w:rsidR="00075296" w:rsidRPr="00075296" w:rsidRDefault="00075296" w:rsidP="00075296">
      <w:pPr>
        <w:spacing w:line="285" w:lineRule="atLeast"/>
        <w:rPr>
          <w:rFonts w:ascii="Arial" w:hAnsi="Arial" w:cs="Arial"/>
          <w:b/>
          <w:bCs/>
          <w:u w:val="single"/>
        </w:rPr>
      </w:pPr>
      <w:r w:rsidRPr="00075296">
        <w:rPr>
          <w:rFonts w:ascii="Arial" w:hAnsi="Arial" w:cs="Arial"/>
          <w:b/>
          <w:bCs/>
          <w:u w:val="single"/>
        </w:rPr>
        <w:t xml:space="preserve">DISCIPLINARY SANCTIONS </w:t>
      </w:r>
    </w:p>
    <w:p w14:paraId="266B0016" w14:textId="77777777" w:rsidR="00075296" w:rsidRPr="00075296" w:rsidRDefault="00075296" w:rsidP="00075296">
      <w:pPr>
        <w:spacing w:line="285" w:lineRule="atLeast"/>
        <w:rPr>
          <w:rFonts w:ascii="Arial" w:hAnsi="Arial" w:cs="Arial"/>
          <w:b/>
          <w:bCs/>
          <w:u w:val="single"/>
        </w:rPr>
      </w:pPr>
    </w:p>
    <w:p w14:paraId="71EF2049" w14:textId="675AC0DB" w:rsidR="00075296" w:rsidRPr="00075296" w:rsidRDefault="00075296" w:rsidP="00075296">
      <w:pPr>
        <w:spacing w:line="285" w:lineRule="atLeast"/>
        <w:ind w:right="165"/>
        <w:rPr>
          <w:rFonts w:ascii="Arial" w:hAnsi="Arial" w:cs="Arial"/>
        </w:rPr>
      </w:pPr>
      <w:r w:rsidRPr="00075296">
        <w:rPr>
          <w:rFonts w:ascii="Arial" w:hAnsi="Arial" w:cs="Arial"/>
        </w:rPr>
        <w:t xml:space="preserve">The </w:t>
      </w:r>
      <w:r w:rsidR="003440DE">
        <w:rPr>
          <w:rFonts w:ascii="Arial" w:hAnsi="Arial" w:cs="Arial"/>
        </w:rPr>
        <w:t>U</w:t>
      </w:r>
      <w:r w:rsidR="003440DE" w:rsidRPr="00075296">
        <w:rPr>
          <w:rFonts w:ascii="Arial" w:hAnsi="Arial" w:cs="Arial"/>
        </w:rPr>
        <w:t xml:space="preserve">niversity </w:t>
      </w:r>
      <w:r w:rsidRPr="00075296">
        <w:rPr>
          <w:rFonts w:ascii="Arial" w:hAnsi="Arial" w:cs="Arial"/>
        </w:rPr>
        <w:t xml:space="preserve">will impose disciplinary sanctions on students and employees who violate the above standards of conduct. Among the disciplinary sanctions which may be imposed on students are reprimand, probation, attendance at an alcohol and drug education class, an individual counseling session, monetary fine, restriction, suspension, expulsion, and referral for prosecution. Among the disciplinary sanctions which may be imposed on employees are </w:t>
      </w:r>
      <w:r w:rsidR="00D76B1C">
        <w:rPr>
          <w:rFonts w:ascii="Arial" w:hAnsi="Arial" w:cs="Arial"/>
        </w:rPr>
        <w:t>verbal/written</w:t>
      </w:r>
      <w:r w:rsidRPr="00075296">
        <w:rPr>
          <w:rFonts w:ascii="Arial" w:hAnsi="Arial" w:cs="Arial"/>
        </w:rPr>
        <w:t xml:space="preserve"> warning, suspension, termination, and </w:t>
      </w:r>
      <w:r w:rsidR="00D76B1C">
        <w:rPr>
          <w:rFonts w:ascii="Arial" w:hAnsi="Arial" w:cs="Arial"/>
        </w:rPr>
        <w:t xml:space="preserve">potential </w:t>
      </w:r>
      <w:r w:rsidRPr="00075296">
        <w:rPr>
          <w:rFonts w:ascii="Arial" w:hAnsi="Arial" w:cs="Arial"/>
        </w:rPr>
        <w:t xml:space="preserve">referral for prosecution. The </w:t>
      </w:r>
      <w:r w:rsidR="003440DE">
        <w:rPr>
          <w:rFonts w:ascii="Arial" w:hAnsi="Arial" w:cs="Arial"/>
        </w:rPr>
        <w:t>U</w:t>
      </w:r>
      <w:r w:rsidR="003440DE" w:rsidRPr="00075296">
        <w:rPr>
          <w:rFonts w:ascii="Arial" w:hAnsi="Arial" w:cs="Arial"/>
        </w:rPr>
        <w:t xml:space="preserve">niversity </w:t>
      </w:r>
      <w:r w:rsidRPr="00075296">
        <w:rPr>
          <w:rFonts w:ascii="Arial" w:hAnsi="Arial" w:cs="Arial"/>
        </w:rPr>
        <w:t xml:space="preserve">may also require completion of an appropriate rehabilitation program. </w:t>
      </w:r>
    </w:p>
    <w:p w14:paraId="7DB6831E" w14:textId="77777777" w:rsidR="00075296" w:rsidRPr="00075296" w:rsidRDefault="00075296" w:rsidP="00075296">
      <w:pPr>
        <w:rPr>
          <w:rFonts w:ascii="Arial" w:hAnsi="Arial" w:cs="Arial"/>
        </w:rPr>
      </w:pPr>
    </w:p>
    <w:p w14:paraId="5DD12263" w14:textId="77777777" w:rsidR="00075296" w:rsidRPr="00075296" w:rsidRDefault="00075296" w:rsidP="00075296">
      <w:pPr>
        <w:rPr>
          <w:rFonts w:ascii="Arial" w:hAnsi="Arial" w:cs="Arial"/>
        </w:rPr>
      </w:pPr>
      <w:r w:rsidRPr="00075296">
        <w:rPr>
          <w:rFonts w:ascii="Arial" w:hAnsi="Arial" w:cs="Arial"/>
          <w:b/>
          <w:bCs/>
        </w:rPr>
        <w:t xml:space="preserve">A copy of this statement can be found in </w:t>
      </w:r>
      <w:r w:rsidR="00C03C7F">
        <w:rPr>
          <w:rFonts w:ascii="Arial" w:hAnsi="Arial" w:cs="Arial"/>
          <w:b/>
          <w:bCs/>
        </w:rPr>
        <w:t xml:space="preserve">the Student Handbook </w:t>
      </w:r>
      <w:r w:rsidRPr="00075296">
        <w:rPr>
          <w:rFonts w:ascii="Arial" w:hAnsi="Arial" w:cs="Arial"/>
          <w:b/>
          <w:bCs/>
        </w:rPr>
        <w:t xml:space="preserve"> at: </w:t>
      </w:r>
      <w:hyperlink r:id="rId16" w:history="1">
        <w:r w:rsidRPr="00075296">
          <w:rPr>
            <w:rStyle w:val="Hyperlink"/>
            <w:rFonts w:ascii="Arial" w:hAnsi="Arial" w:cs="Arial"/>
            <w:color w:val="auto"/>
          </w:rPr>
          <w:t>www.newhaven.edu/studenthandbook</w:t>
        </w:r>
      </w:hyperlink>
      <w:r w:rsidRPr="00075296">
        <w:rPr>
          <w:rFonts w:ascii="Arial" w:hAnsi="Arial" w:cs="Arial"/>
        </w:rPr>
        <w:t>. </w:t>
      </w:r>
    </w:p>
    <w:p w14:paraId="3B211FFC" w14:textId="77777777" w:rsidR="00075296" w:rsidRPr="00075296" w:rsidRDefault="00075296" w:rsidP="00075296">
      <w:pPr>
        <w:rPr>
          <w:rFonts w:ascii="Arial" w:hAnsi="Arial" w:cs="Arial"/>
          <w:sz w:val="20"/>
          <w:szCs w:val="20"/>
        </w:rPr>
      </w:pPr>
      <w:r w:rsidRPr="00075296">
        <w:rPr>
          <w:rFonts w:ascii="Arial" w:hAnsi="Arial" w:cs="Arial"/>
        </w:rPr>
        <w:t> </w:t>
      </w:r>
    </w:p>
    <w:p w14:paraId="00D4CF3B" w14:textId="77777777" w:rsidR="00075296" w:rsidRPr="00075296" w:rsidRDefault="00075296" w:rsidP="00075296">
      <w:pPr>
        <w:rPr>
          <w:rFonts w:ascii="Arial" w:hAnsi="Arial" w:cs="Arial"/>
        </w:rPr>
      </w:pPr>
    </w:p>
    <w:p w14:paraId="7F1EC540" w14:textId="77777777" w:rsidR="00075296" w:rsidRPr="00075296" w:rsidRDefault="00075296" w:rsidP="00075296">
      <w:pPr>
        <w:rPr>
          <w:rFonts w:ascii="Arial" w:hAnsi="Arial" w:cs="Arial"/>
        </w:rPr>
      </w:pPr>
    </w:p>
    <w:sectPr w:rsidR="00075296" w:rsidRPr="00075296" w:rsidSect="00125F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B904" w14:textId="77777777" w:rsidR="007C693E" w:rsidRDefault="007C693E" w:rsidP="00752F18">
      <w:r>
        <w:separator/>
      </w:r>
    </w:p>
  </w:endnote>
  <w:endnote w:type="continuationSeparator" w:id="0">
    <w:p w14:paraId="45B35A65" w14:textId="77777777" w:rsidR="007C693E" w:rsidRDefault="007C693E" w:rsidP="0075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B58E" w14:textId="77777777" w:rsidR="007C693E" w:rsidRDefault="007C693E" w:rsidP="00752F18">
      <w:r>
        <w:separator/>
      </w:r>
    </w:p>
  </w:footnote>
  <w:footnote w:type="continuationSeparator" w:id="0">
    <w:p w14:paraId="168E4FC2" w14:textId="77777777" w:rsidR="007C693E" w:rsidRDefault="007C693E" w:rsidP="00752F18">
      <w:r>
        <w:continuationSeparator/>
      </w:r>
    </w:p>
  </w:footnote>
  <w:footnote w:id="1">
    <w:p w14:paraId="4FE8941A" w14:textId="77777777" w:rsidR="008E73B6" w:rsidRDefault="008E73B6">
      <w:pPr>
        <w:pStyle w:val="FootnoteText"/>
      </w:pPr>
      <w:r>
        <w:rPr>
          <w:rStyle w:val="FootnoteReference"/>
        </w:rPr>
        <w:footnoteRef/>
      </w:r>
      <w:r>
        <w:t xml:space="preserve"> New Synthetic Cannabinoids—“Cloud 9,” “Mojo,” etc. (2014, November 13). Retrieved November 24, 2014, from http://www.drugabuse.gov/drugs-abuse/emerging-trends</w:t>
      </w:r>
    </w:p>
  </w:footnote>
  <w:footnote w:id="2">
    <w:p w14:paraId="28868396" w14:textId="77777777" w:rsidR="00CA433E" w:rsidRDefault="00CA433E">
      <w:pPr>
        <w:pStyle w:val="FootnoteText"/>
      </w:pPr>
      <w:r>
        <w:rPr>
          <w:rStyle w:val="FootnoteReference"/>
        </w:rPr>
        <w:footnoteRef/>
      </w:r>
      <w:r>
        <w:t xml:space="preserve"> Should Marijuana Be a Medical Option? (n.d.). Retrieved November 24, 2014, from http://medicalmarijuana.procon.org/</w:t>
      </w:r>
    </w:p>
  </w:footnote>
  <w:footnote w:id="3">
    <w:p w14:paraId="4B72D8AC" w14:textId="77777777" w:rsidR="008E73B6" w:rsidRDefault="008E73B6">
      <w:pPr>
        <w:pStyle w:val="FootnoteText"/>
      </w:pPr>
      <w:r>
        <w:rPr>
          <w:rStyle w:val="FootnoteReference"/>
        </w:rPr>
        <w:footnoteRef/>
      </w:r>
      <w:r>
        <w:t xml:space="preserve"> N-bomb. (2013, September 30). Retrieved November 24, 2014, from http://www.drugabuse.gov/drugs-abuse/emerging-trends</w:t>
      </w:r>
    </w:p>
  </w:footnote>
  <w:footnote w:id="4">
    <w:p w14:paraId="0FEF2DC2" w14:textId="77777777" w:rsidR="00CA433E" w:rsidRDefault="00CA433E">
      <w:pPr>
        <w:pStyle w:val="FootnoteText"/>
      </w:pPr>
      <w:r>
        <w:rPr>
          <w:rStyle w:val="FootnoteReference"/>
        </w:rPr>
        <w:footnoteRef/>
      </w:r>
      <w:r>
        <w:t xml:space="preserve"> "Molly" (2013, May 26). Retrieved November 24, 2014, from http://www.drugabuse.gov/drugs-abuse/emerging-trends</w:t>
      </w:r>
    </w:p>
  </w:footnote>
  <w:footnote w:id="5">
    <w:p w14:paraId="65BB14D6" w14:textId="77777777" w:rsidR="00767E8A" w:rsidRPr="0075588D" w:rsidRDefault="00767E8A" w:rsidP="00767E8A">
      <w:pPr>
        <w:spacing w:after="150" w:line="285" w:lineRule="atLeast"/>
      </w:pPr>
      <w:r>
        <w:rPr>
          <w:rStyle w:val="FootnoteReference"/>
        </w:rPr>
        <w:footnoteRef/>
      </w:r>
      <w:r>
        <w:t xml:space="preserve"> </w:t>
      </w:r>
      <w:r w:rsidRPr="0075588D">
        <w:rPr>
          <w:sz w:val="20"/>
          <w:szCs w:val="20"/>
        </w:rPr>
        <w:t xml:space="preserve">"Flakka" (alpha-PVP).  </w:t>
      </w:r>
      <w:r w:rsidRPr="0075588D">
        <w:rPr>
          <w:rStyle w:val="date-display-single"/>
          <w:sz w:val="20"/>
          <w:szCs w:val="20"/>
        </w:rPr>
        <w:t xml:space="preserve">April 06, 2015.  Retrieved November 11, 2015 from </w:t>
      </w:r>
      <w:hyperlink r:id="rId1" w:history="1">
        <w:r w:rsidRPr="0075588D">
          <w:rPr>
            <w:rStyle w:val="Hyperlink"/>
            <w:sz w:val="20"/>
            <w:szCs w:val="20"/>
          </w:rPr>
          <w:t>http://www.drugabuse.gov/drugs-abuse/emerging-trends</w:t>
        </w:r>
      </w:hyperlink>
      <w:r w:rsidRPr="0075588D">
        <w:rPr>
          <w:rStyle w:val="date-display-single"/>
          <w:sz w:val="20"/>
          <w:szCs w:val="20"/>
        </w:rPr>
        <w:t>.</w:t>
      </w:r>
    </w:p>
    <w:p w14:paraId="551B39C5" w14:textId="77777777" w:rsidR="00767E8A" w:rsidRDefault="00767E8A">
      <w:pPr>
        <w:pStyle w:val="FootnoteText"/>
      </w:pPr>
    </w:p>
  </w:footnote>
  <w:footnote w:id="6">
    <w:p w14:paraId="10842737" w14:textId="77777777" w:rsidR="00F7796D" w:rsidRPr="005979D4" w:rsidRDefault="00F7796D" w:rsidP="00F7796D">
      <w:pPr>
        <w:rPr>
          <w:sz w:val="20"/>
          <w:szCs w:val="20"/>
        </w:rPr>
      </w:pPr>
      <w:r>
        <w:rPr>
          <w:rStyle w:val="FootnoteReference"/>
        </w:rPr>
        <w:footnoteRef/>
      </w:r>
      <w:r>
        <w:t xml:space="preserve"> </w:t>
      </w:r>
      <w:r w:rsidRPr="005979D4">
        <w:rPr>
          <w:sz w:val="20"/>
          <w:szCs w:val="20"/>
        </w:rPr>
        <w:t xml:space="preserve">“Fentanyl-Related Overdoses Prompt Alert from CDC.”  Posted on August 26, 2016.  Retrieved from  </w:t>
      </w:r>
      <w:hyperlink r:id="rId2" w:history="1">
        <w:r w:rsidRPr="005979D4">
          <w:rPr>
            <w:sz w:val="20"/>
            <w:szCs w:val="20"/>
          </w:rPr>
          <w:t>https://www.drugabuse.gov/drugs-abuse/emerging-trends-alerts</w:t>
        </w:r>
      </w:hyperlink>
      <w:r w:rsidRPr="005979D4">
        <w:rPr>
          <w:sz w:val="20"/>
          <w:szCs w:val="20"/>
        </w:rPr>
        <w:t xml:space="preserve">  on November 11, 2016.</w:t>
      </w:r>
    </w:p>
    <w:p w14:paraId="38E12AFE" w14:textId="77777777" w:rsidR="00F7796D" w:rsidRDefault="00F7796D">
      <w:pPr>
        <w:pStyle w:val="FootnoteText"/>
      </w:pPr>
    </w:p>
  </w:footnote>
  <w:footnote w:id="7">
    <w:p w14:paraId="313B2D16" w14:textId="77777777" w:rsidR="00F7796D" w:rsidRDefault="00F7796D" w:rsidP="005979D4">
      <w:r>
        <w:rPr>
          <w:rStyle w:val="FootnoteReference"/>
        </w:rPr>
        <w:footnoteRef/>
      </w:r>
      <w:r>
        <w:t xml:space="preserve"> </w:t>
      </w:r>
      <w:r w:rsidRPr="00F7796D">
        <w:rPr>
          <w:sz w:val="20"/>
          <w:szCs w:val="20"/>
        </w:rPr>
        <w:t xml:space="preserve">“DEA Issues Nationwide Warning on Carfentanil.”  Posted on September 23, 2016.  Retrieved from  </w:t>
      </w:r>
      <w:hyperlink r:id="rId3" w:history="1">
        <w:r w:rsidRPr="005979D4">
          <w:t>https://www.drugabuse.gov/drugs-abuse/emerging-trends-alerts</w:t>
        </w:r>
      </w:hyperlink>
      <w:r w:rsidRPr="00F7796D">
        <w:rPr>
          <w:sz w:val="20"/>
          <w:szCs w:val="20"/>
        </w:rPr>
        <w:t xml:space="preserve">  on November 11, 2016.</w:t>
      </w:r>
    </w:p>
  </w:footnote>
  <w:footnote w:id="8">
    <w:p w14:paraId="463D8487" w14:textId="77777777" w:rsidR="008E73B6" w:rsidRDefault="008E73B6">
      <w:pPr>
        <w:pStyle w:val="FootnoteText"/>
      </w:pPr>
      <w:r>
        <w:rPr>
          <w:rStyle w:val="FootnoteReference"/>
        </w:rPr>
        <w:footnoteRef/>
      </w:r>
      <w:r>
        <w:t xml:space="preserve"> Krokodil. (2013, November 8). Retrieved November 24, 2014, from http://www.drugabuse.gov/drugs-abuse/emerging-trends</w:t>
      </w:r>
    </w:p>
  </w:footnote>
  <w:footnote w:id="9">
    <w:p w14:paraId="4111F939" w14:textId="77777777" w:rsidR="008E73B6" w:rsidRDefault="008E73B6">
      <w:pPr>
        <w:pStyle w:val="FootnoteText"/>
      </w:pPr>
      <w:r>
        <w:rPr>
          <w:rStyle w:val="FootnoteReference"/>
        </w:rPr>
        <w:footnoteRef/>
      </w:r>
      <w:r>
        <w:t xml:space="preserve"> "Syrup," "Purple Drank," "Sizzurp," "Lean" (2013, May 26). Retrieved November 24, 2014, from http://www.drugabuse.gov/drugs-abuse/emerging-trends</w:t>
      </w:r>
    </w:p>
  </w:footnote>
  <w:footnote w:id="10">
    <w:p w14:paraId="6992D2CD" w14:textId="77777777" w:rsidR="00B94CF1" w:rsidRDefault="00B94CF1">
      <w:pPr>
        <w:pStyle w:val="FootnoteText"/>
      </w:pPr>
      <w:r>
        <w:rPr>
          <w:rStyle w:val="FootnoteReference"/>
        </w:rPr>
        <w:footnoteRef/>
      </w:r>
      <w:r>
        <w:t xml:space="preserve"> DrugFacts: Stimulant ADHD Medications - Methylphenidate and Amphetamines. (2014, January 1). Retrieved November 24, 2014, from http://www.drugabuse.gov/publications/drugfacts/stimulant-adhd-medications-methylphenidate-amphetamines</w:t>
      </w:r>
    </w:p>
  </w:footnote>
  <w:footnote w:id="11">
    <w:p w14:paraId="40ADED2C" w14:textId="77777777" w:rsidR="00B94CF1" w:rsidRDefault="00B94CF1">
      <w:pPr>
        <w:pStyle w:val="FootnoteText"/>
      </w:pPr>
      <w:r>
        <w:rPr>
          <w:rStyle w:val="FootnoteReference"/>
        </w:rPr>
        <w:footnoteRef/>
      </w:r>
      <w:r>
        <w:t xml:space="preserve"> DrugFacts: Prescription and Over-the-Counter Medications. (2014, November 1). Retrieved November 24, 2014, from http://www.drugabuse.gov/publications/drugfacts/prescription-over-counter-medications</w:t>
      </w:r>
    </w:p>
  </w:footnote>
  <w:footnote w:id="12">
    <w:p w14:paraId="6B707DA2" w14:textId="77777777" w:rsidR="008E73B6" w:rsidRDefault="008E73B6">
      <w:pPr>
        <w:pStyle w:val="FootnoteText"/>
      </w:pPr>
      <w:r>
        <w:rPr>
          <w:rStyle w:val="FootnoteReference"/>
        </w:rPr>
        <w:footnoteRef/>
      </w:r>
      <w:r>
        <w:t xml:space="preserve"> Caffeine Powder. (2014, July 23). Retrieved November 24, 2014, from http://www.drugabuse.gov/drugs-abuse/emerging-trends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05278"/>
    <w:multiLevelType w:val="hybridMultilevel"/>
    <w:tmpl w:val="3F6CA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296"/>
    <w:rsid w:val="00040186"/>
    <w:rsid w:val="00045EE4"/>
    <w:rsid w:val="00046B2D"/>
    <w:rsid w:val="0007391E"/>
    <w:rsid w:val="000742DF"/>
    <w:rsid w:val="00075296"/>
    <w:rsid w:val="00082A14"/>
    <w:rsid w:val="00093049"/>
    <w:rsid w:val="000C6CA7"/>
    <w:rsid w:val="00125FF7"/>
    <w:rsid w:val="001526DC"/>
    <w:rsid w:val="00162313"/>
    <w:rsid w:val="001663D1"/>
    <w:rsid w:val="00190776"/>
    <w:rsid w:val="00195A8A"/>
    <w:rsid w:val="001C13E3"/>
    <w:rsid w:val="001E15D7"/>
    <w:rsid w:val="001E5410"/>
    <w:rsid w:val="001F0D3A"/>
    <w:rsid w:val="00211836"/>
    <w:rsid w:val="00242565"/>
    <w:rsid w:val="00250056"/>
    <w:rsid w:val="002531C6"/>
    <w:rsid w:val="00256AAC"/>
    <w:rsid w:val="002A66D3"/>
    <w:rsid w:val="002D68E4"/>
    <w:rsid w:val="00310CEA"/>
    <w:rsid w:val="003236A4"/>
    <w:rsid w:val="003440DE"/>
    <w:rsid w:val="00345A84"/>
    <w:rsid w:val="00370A97"/>
    <w:rsid w:val="00370D35"/>
    <w:rsid w:val="00376AF3"/>
    <w:rsid w:val="003A3788"/>
    <w:rsid w:val="003E478D"/>
    <w:rsid w:val="003F3D08"/>
    <w:rsid w:val="00400645"/>
    <w:rsid w:val="00422459"/>
    <w:rsid w:val="00455183"/>
    <w:rsid w:val="004603D0"/>
    <w:rsid w:val="00466078"/>
    <w:rsid w:val="004A71A5"/>
    <w:rsid w:val="004C1044"/>
    <w:rsid w:val="00511172"/>
    <w:rsid w:val="005251A3"/>
    <w:rsid w:val="00561FC1"/>
    <w:rsid w:val="005979D4"/>
    <w:rsid w:val="005A6AA7"/>
    <w:rsid w:val="005C3AFB"/>
    <w:rsid w:val="005D446B"/>
    <w:rsid w:val="005D5D3B"/>
    <w:rsid w:val="005F73F6"/>
    <w:rsid w:val="006362B6"/>
    <w:rsid w:val="006622A4"/>
    <w:rsid w:val="0068552C"/>
    <w:rsid w:val="006A4054"/>
    <w:rsid w:val="006B5F75"/>
    <w:rsid w:val="006E22A4"/>
    <w:rsid w:val="006E4A3B"/>
    <w:rsid w:val="0070327D"/>
    <w:rsid w:val="00714F5B"/>
    <w:rsid w:val="00720E58"/>
    <w:rsid w:val="00721F04"/>
    <w:rsid w:val="00747185"/>
    <w:rsid w:val="00752F18"/>
    <w:rsid w:val="00755253"/>
    <w:rsid w:val="00767E8A"/>
    <w:rsid w:val="00786146"/>
    <w:rsid w:val="00795A18"/>
    <w:rsid w:val="007A3EC4"/>
    <w:rsid w:val="007C693E"/>
    <w:rsid w:val="007C6F33"/>
    <w:rsid w:val="008625F7"/>
    <w:rsid w:val="008667D1"/>
    <w:rsid w:val="008E6486"/>
    <w:rsid w:val="008E73B6"/>
    <w:rsid w:val="008F7D95"/>
    <w:rsid w:val="00900BDC"/>
    <w:rsid w:val="0090557A"/>
    <w:rsid w:val="00937907"/>
    <w:rsid w:val="009404E1"/>
    <w:rsid w:val="009A4D37"/>
    <w:rsid w:val="009E0AF9"/>
    <w:rsid w:val="00A414C5"/>
    <w:rsid w:val="00A5265C"/>
    <w:rsid w:val="00A55926"/>
    <w:rsid w:val="00A81498"/>
    <w:rsid w:val="00A953B8"/>
    <w:rsid w:val="00AB1A37"/>
    <w:rsid w:val="00AB450E"/>
    <w:rsid w:val="00AD41DC"/>
    <w:rsid w:val="00AE1282"/>
    <w:rsid w:val="00AF05D6"/>
    <w:rsid w:val="00B717E6"/>
    <w:rsid w:val="00B94CF1"/>
    <w:rsid w:val="00BA1694"/>
    <w:rsid w:val="00BB0524"/>
    <w:rsid w:val="00BD372B"/>
    <w:rsid w:val="00BE4FA5"/>
    <w:rsid w:val="00C03C7F"/>
    <w:rsid w:val="00C16E24"/>
    <w:rsid w:val="00C30134"/>
    <w:rsid w:val="00C37339"/>
    <w:rsid w:val="00CA129A"/>
    <w:rsid w:val="00CA433E"/>
    <w:rsid w:val="00CB4EB4"/>
    <w:rsid w:val="00CE42A4"/>
    <w:rsid w:val="00CE5F45"/>
    <w:rsid w:val="00D00C5A"/>
    <w:rsid w:val="00D656E9"/>
    <w:rsid w:val="00D66FBA"/>
    <w:rsid w:val="00D76B1C"/>
    <w:rsid w:val="00DC6E6A"/>
    <w:rsid w:val="00DF5011"/>
    <w:rsid w:val="00E408DA"/>
    <w:rsid w:val="00E8774F"/>
    <w:rsid w:val="00ED0DF9"/>
    <w:rsid w:val="00F4507C"/>
    <w:rsid w:val="00F5230B"/>
    <w:rsid w:val="00F62324"/>
    <w:rsid w:val="00F63D3A"/>
    <w:rsid w:val="00F76FA5"/>
    <w:rsid w:val="00F7796D"/>
    <w:rsid w:val="00F86520"/>
    <w:rsid w:val="00FC7402"/>
    <w:rsid w:val="00FF2678"/>
    <w:rsid w:val="00FF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0F38"/>
  <w15:docId w15:val="{D77EB518-F513-4B47-9C58-909AAE9D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296"/>
    <w:pPr>
      <w:spacing w:after="0"/>
    </w:pPr>
    <w:rPr>
      <w:rFonts w:ascii="Times New Roman" w:hAnsi="Times New Roman" w:cs="Times New Roman"/>
      <w:sz w:val="24"/>
      <w:szCs w:val="24"/>
    </w:rPr>
  </w:style>
  <w:style w:type="paragraph" w:styleId="Heading1">
    <w:name w:val="heading 1"/>
    <w:basedOn w:val="Normal"/>
    <w:next w:val="Normal"/>
    <w:link w:val="Heading1Char"/>
    <w:uiPriority w:val="9"/>
    <w:qFormat/>
    <w:rsid w:val="007A3EC4"/>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5296"/>
    <w:rPr>
      <w:color w:val="0000FF"/>
      <w:u w:val="single"/>
    </w:rPr>
  </w:style>
  <w:style w:type="paragraph" w:styleId="BalloonText">
    <w:name w:val="Balloon Text"/>
    <w:basedOn w:val="Normal"/>
    <w:link w:val="BalloonTextChar"/>
    <w:uiPriority w:val="99"/>
    <w:semiHidden/>
    <w:unhideWhenUsed/>
    <w:rsid w:val="00075296"/>
    <w:rPr>
      <w:rFonts w:ascii="Tahoma" w:hAnsi="Tahoma" w:cs="Tahoma"/>
      <w:sz w:val="16"/>
      <w:szCs w:val="16"/>
    </w:rPr>
  </w:style>
  <w:style w:type="character" w:customStyle="1" w:styleId="BalloonTextChar">
    <w:name w:val="Balloon Text Char"/>
    <w:basedOn w:val="DefaultParagraphFont"/>
    <w:link w:val="BalloonText"/>
    <w:uiPriority w:val="99"/>
    <w:semiHidden/>
    <w:rsid w:val="00075296"/>
    <w:rPr>
      <w:rFonts w:ascii="Tahoma" w:hAnsi="Tahoma" w:cs="Tahoma"/>
      <w:sz w:val="16"/>
      <w:szCs w:val="16"/>
    </w:rPr>
  </w:style>
  <w:style w:type="character" w:styleId="Emphasis">
    <w:name w:val="Emphasis"/>
    <w:basedOn w:val="DefaultParagraphFont"/>
    <w:uiPriority w:val="20"/>
    <w:qFormat/>
    <w:rsid w:val="00CE5F45"/>
    <w:rPr>
      <w:i/>
      <w:iCs/>
    </w:rPr>
  </w:style>
  <w:style w:type="paragraph" w:styleId="NormalWeb">
    <w:name w:val="Normal (Web)"/>
    <w:basedOn w:val="Normal"/>
    <w:uiPriority w:val="99"/>
    <w:unhideWhenUsed/>
    <w:rsid w:val="00FF2678"/>
    <w:pPr>
      <w:spacing w:before="100" w:beforeAutospacing="1" w:after="100" w:afterAutospacing="1"/>
    </w:pPr>
    <w:rPr>
      <w:rFonts w:eastAsia="Times New Roman"/>
    </w:rPr>
  </w:style>
  <w:style w:type="character" w:customStyle="1" w:styleId="st">
    <w:name w:val="st"/>
    <w:basedOn w:val="DefaultParagraphFont"/>
    <w:rsid w:val="008F7D95"/>
  </w:style>
  <w:style w:type="paragraph" w:styleId="FootnoteText">
    <w:name w:val="footnote text"/>
    <w:basedOn w:val="Normal"/>
    <w:link w:val="FootnoteTextChar"/>
    <w:uiPriority w:val="99"/>
    <w:semiHidden/>
    <w:unhideWhenUsed/>
    <w:rsid w:val="00752F18"/>
    <w:rPr>
      <w:sz w:val="20"/>
      <w:szCs w:val="20"/>
    </w:rPr>
  </w:style>
  <w:style w:type="character" w:customStyle="1" w:styleId="FootnoteTextChar">
    <w:name w:val="Footnote Text Char"/>
    <w:basedOn w:val="DefaultParagraphFont"/>
    <w:link w:val="FootnoteText"/>
    <w:uiPriority w:val="99"/>
    <w:semiHidden/>
    <w:rsid w:val="00752F1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52F18"/>
    <w:rPr>
      <w:vertAlign w:val="superscript"/>
    </w:rPr>
  </w:style>
  <w:style w:type="character" w:customStyle="1" w:styleId="date-display-single">
    <w:name w:val="date-display-single"/>
    <w:basedOn w:val="DefaultParagraphFont"/>
    <w:rsid w:val="007C6F33"/>
  </w:style>
  <w:style w:type="paragraph" w:styleId="Header">
    <w:name w:val="header"/>
    <w:basedOn w:val="Normal"/>
    <w:link w:val="HeaderChar"/>
    <w:uiPriority w:val="99"/>
    <w:unhideWhenUsed/>
    <w:rsid w:val="007C6F33"/>
    <w:pPr>
      <w:tabs>
        <w:tab w:val="center" w:pos="4680"/>
        <w:tab w:val="right" w:pos="9360"/>
      </w:tabs>
    </w:pPr>
  </w:style>
  <w:style w:type="character" w:customStyle="1" w:styleId="HeaderChar">
    <w:name w:val="Header Char"/>
    <w:basedOn w:val="DefaultParagraphFont"/>
    <w:link w:val="Header"/>
    <w:uiPriority w:val="99"/>
    <w:rsid w:val="007C6F33"/>
    <w:rPr>
      <w:rFonts w:ascii="Times New Roman" w:hAnsi="Times New Roman" w:cs="Times New Roman"/>
      <w:sz w:val="24"/>
      <w:szCs w:val="24"/>
    </w:rPr>
  </w:style>
  <w:style w:type="paragraph" w:styleId="Footer">
    <w:name w:val="footer"/>
    <w:basedOn w:val="Normal"/>
    <w:link w:val="FooterChar"/>
    <w:uiPriority w:val="99"/>
    <w:unhideWhenUsed/>
    <w:rsid w:val="007C6F33"/>
    <w:pPr>
      <w:tabs>
        <w:tab w:val="center" w:pos="4680"/>
        <w:tab w:val="right" w:pos="9360"/>
      </w:tabs>
    </w:pPr>
  </w:style>
  <w:style w:type="character" w:customStyle="1" w:styleId="FooterChar">
    <w:name w:val="Footer Char"/>
    <w:basedOn w:val="DefaultParagraphFont"/>
    <w:link w:val="Footer"/>
    <w:uiPriority w:val="99"/>
    <w:rsid w:val="007C6F33"/>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90557A"/>
    <w:rPr>
      <w:sz w:val="20"/>
      <w:szCs w:val="20"/>
    </w:rPr>
  </w:style>
  <w:style w:type="character" w:customStyle="1" w:styleId="EndnoteTextChar">
    <w:name w:val="Endnote Text Char"/>
    <w:basedOn w:val="DefaultParagraphFont"/>
    <w:link w:val="EndnoteText"/>
    <w:uiPriority w:val="99"/>
    <w:semiHidden/>
    <w:rsid w:val="0090557A"/>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90557A"/>
    <w:rPr>
      <w:vertAlign w:val="superscript"/>
    </w:rPr>
  </w:style>
  <w:style w:type="character" w:styleId="FollowedHyperlink">
    <w:name w:val="FollowedHyperlink"/>
    <w:basedOn w:val="DefaultParagraphFont"/>
    <w:uiPriority w:val="99"/>
    <w:semiHidden/>
    <w:unhideWhenUsed/>
    <w:rsid w:val="003440DE"/>
    <w:rPr>
      <w:color w:val="800080" w:themeColor="followedHyperlink"/>
      <w:u w:val="single"/>
    </w:rPr>
  </w:style>
  <w:style w:type="character" w:styleId="CommentReference">
    <w:name w:val="annotation reference"/>
    <w:basedOn w:val="DefaultParagraphFont"/>
    <w:uiPriority w:val="99"/>
    <w:semiHidden/>
    <w:unhideWhenUsed/>
    <w:rsid w:val="003F3D08"/>
    <w:rPr>
      <w:sz w:val="16"/>
      <w:szCs w:val="16"/>
    </w:rPr>
  </w:style>
  <w:style w:type="paragraph" w:styleId="CommentText">
    <w:name w:val="annotation text"/>
    <w:basedOn w:val="Normal"/>
    <w:link w:val="CommentTextChar"/>
    <w:uiPriority w:val="99"/>
    <w:semiHidden/>
    <w:unhideWhenUsed/>
    <w:rsid w:val="003F3D08"/>
    <w:rPr>
      <w:sz w:val="20"/>
      <w:szCs w:val="20"/>
    </w:rPr>
  </w:style>
  <w:style w:type="character" w:customStyle="1" w:styleId="CommentTextChar">
    <w:name w:val="Comment Text Char"/>
    <w:basedOn w:val="DefaultParagraphFont"/>
    <w:link w:val="CommentText"/>
    <w:uiPriority w:val="99"/>
    <w:semiHidden/>
    <w:rsid w:val="003F3D0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3D08"/>
    <w:rPr>
      <w:b/>
      <w:bCs/>
    </w:rPr>
  </w:style>
  <w:style w:type="character" w:customStyle="1" w:styleId="CommentSubjectChar">
    <w:name w:val="Comment Subject Char"/>
    <w:basedOn w:val="CommentTextChar"/>
    <w:link w:val="CommentSubject"/>
    <w:uiPriority w:val="99"/>
    <w:semiHidden/>
    <w:rsid w:val="003F3D08"/>
    <w:rPr>
      <w:rFonts w:ascii="Times New Roman" w:hAnsi="Times New Roman" w:cs="Times New Roman"/>
      <w:b/>
      <w:bCs/>
      <w:sz w:val="20"/>
      <w:szCs w:val="20"/>
    </w:rPr>
  </w:style>
  <w:style w:type="paragraph" w:styleId="Revision">
    <w:name w:val="Revision"/>
    <w:hidden/>
    <w:uiPriority w:val="99"/>
    <w:semiHidden/>
    <w:rsid w:val="007A3EC4"/>
    <w:pPr>
      <w:spacing w:after="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7A3EC4"/>
    <w:rPr>
      <w:rFonts w:asciiTheme="majorHAnsi" w:eastAsiaTheme="majorEastAsia" w:hAnsiTheme="majorHAnsi" w:cstheme="majorBidi"/>
      <w:b/>
      <w:bCs/>
      <w:caps/>
      <w:spacing w:val="4"/>
      <w:sz w:val="28"/>
      <w:szCs w:val="28"/>
    </w:rPr>
  </w:style>
  <w:style w:type="table" w:styleId="TableGrid">
    <w:name w:val="Table Grid"/>
    <w:basedOn w:val="TableNormal"/>
    <w:uiPriority w:val="39"/>
    <w:rsid w:val="007A3EC4"/>
    <w:pPr>
      <w:spacing w:after="0"/>
      <w:jc w:val="both"/>
    </w:pPr>
    <w:rPr>
      <w:rFonts w:eastAsia="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52781">
      <w:bodyDiv w:val="1"/>
      <w:marLeft w:val="0"/>
      <w:marRight w:val="0"/>
      <w:marTop w:val="0"/>
      <w:marBottom w:val="0"/>
      <w:divBdr>
        <w:top w:val="none" w:sz="0" w:space="0" w:color="auto"/>
        <w:left w:val="none" w:sz="0" w:space="0" w:color="auto"/>
        <w:bottom w:val="none" w:sz="0" w:space="0" w:color="auto"/>
        <w:right w:val="none" w:sz="0" w:space="0" w:color="auto"/>
      </w:divBdr>
    </w:div>
    <w:div w:id="591162163">
      <w:bodyDiv w:val="1"/>
      <w:marLeft w:val="0"/>
      <w:marRight w:val="0"/>
      <w:marTop w:val="0"/>
      <w:marBottom w:val="0"/>
      <w:divBdr>
        <w:top w:val="none" w:sz="0" w:space="0" w:color="auto"/>
        <w:left w:val="none" w:sz="0" w:space="0" w:color="auto"/>
        <w:bottom w:val="none" w:sz="0" w:space="0" w:color="auto"/>
        <w:right w:val="none" w:sz="0" w:space="0" w:color="auto"/>
      </w:divBdr>
    </w:div>
    <w:div w:id="683941819">
      <w:bodyDiv w:val="1"/>
      <w:marLeft w:val="0"/>
      <w:marRight w:val="0"/>
      <w:marTop w:val="0"/>
      <w:marBottom w:val="0"/>
      <w:divBdr>
        <w:top w:val="none" w:sz="0" w:space="0" w:color="auto"/>
        <w:left w:val="none" w:sz="0" w:space="0" w:color="auto"/>
        <w:bottom w:val="none" w:sz="0" w:space="0" w:color="auto"/>
        <w:right w:val="none" w:sz="0" w:space="0" w:color="auto"/>
      </w:divBdr>
    </w:div>
    <w:div w:id="892883285">
      <w:bodyDiv w:val="1"/>
      <w:marLeft w:val="0"/>
      <w:marRight w:val="0"/>
      <w:marTop w:val="0"/>
      <w:marBottom w:val="0"/>
      <w:divBdr>
        <w:top w:val="none" w:sz="0" w:space="0" w:color="auto"/>
        <w:left w:val="none" w:sz="0" w:space="0" w:color="auto"/>
        <w:bottom w:val="none" w:sz="0" w:space="0" w:color="auto"/>
        <w:right w:val="none" w:sz="0" w:space="0" w:color="auto"/>
      </w:divBdr>
    </w:div>
    <w:div w:id="1014114191">
      <w:bodyDiv w:val="1"/>
      <w:marLeft w:val="0"/>
      <w:marRight w:val="0"/>
      <w:marTop w:val="0"/>
      <w:marBottom w:val="0"/>
      <w:divBdr>
        <w:top w:val="none" w:sz="0" w:space="0" w:color="auto"/>
        <w:left w:val="none" w:sz="0" w:space="0" w:color="auto"/>
        <w:bottom w:val="none" w:sz="0" w:space="0" w:color="auto"/>
        <w:right w:val="none" w:sz="0" w:space="0" w:color="auto"/>
      </w:divBdr>
    </w:div>
    <w:div w:id="1195315227">
      <w:bodyDiv w:val="1"/>
      <w:marLeft w:val="0"/>
      <w:marRight w:val="0"/>
      <w:marTop w:val="0"/>
      <w:marBottom w:val="0"/>
      <w:divBdr>
        <w:top w:val="none" w:sz="0" w:space="0" w:color="auto"/>
        <w:left w:val="none" w:sz="0" w:space="0" w:color="auto"/>
        <w:bottom w:val="none" w:sz="0" w:space="0" w:color="auto"/>
        <w:right w:val="none" w:sz="0" w:space="0" w:color="auto"/>
      </w:divBdr>
    </w:div>
    <w:div w:id="1249733053">
      <w:bodyDiv w:val="1"/>
      <w:marLeft w:val="0"/>
      <w:marRight w:val="0"/>
      <w:marTop w:val="0"/>
      <w:marBottom w:val="0"/>
      <w:divBdr>
        <w:top w:val="none" w:sz="0" w:space="0" w:color="auto"/>
        <w:left w:val="none" w:sz="0" w:space="0" w:color="auto"/>
        <w:bottom w:val="none" w:sz="0" w:space="0" w:color="auto"/>
        <w:right w:val="none" w:sz="0" w:space="0" w:color="auto"/>
      </w:divBdr>
    </w:div>
    <w:div w:id="1361510642">
      <w:bodyDiv w:val="1"/>
      <w:marLeft w:val="0"/>
      <w:marRight w:val="0"/>
      <w:marTop w:val="0"/>
      <w:marBottom w:val="0"/>
      <w:divBdr>
        <w:top w:val="none" w:sz="0" w:space="0" w:color="auto"/>
        <w:left w:val="none" w:sz="0" w:space="0" w:color="auto"/>
        <w:bottom w:val="none" w:sz="0" w:space="0" w:color="auto"/>
        <w:right w:val="none" w:sz="0" w:space="0" w:color="auto"/>
      </w:divBdr>
    </w:div>
    <w:div w:id="1399549108">
      <w:bodyDiv w:val="1"/>
      <w:marLeft w:val="0"/>
      <w:marRight w:val="0"/>
      <w:marTop w:val="0"/>
      <w:marBottom w:val="0"/>
      <w:divBdr>
        <w:top w:val="none" w:sz="0" w:space="0" w:color="auto"/>
        <w:left w:val="none" w:sz="0" w:space="0" w:color="auto"/>
        <w:bottom w:val="none" w:sz="0" w:space="0" w:color="auto"/>
        <w:right w:val="none" w:sz="0" w:space="0" w:color="auto"/>
      </w:divBdr>
    </w:div>
    <w:div w:id="1568686587">
      <w:bodyDiv w:val="1"/>
      <w:marLeft w:val="0"/>
      <w:marRight w:val="0"/>
      <w:marTop w:val="0"/>
      <w:marBottom w:val="0"/>
      <w:divBdr>
        <w:top w:val="none" w:sz="0" w:space="0" w:color="auto"/>
        <w:left w:val="none" w:sz="0" w:space="0" w:color="auto"/>
        <w:bottom w:val="none" w:sz="0" w:space="0" w:color="auto"/>
        <w:right w:val="none" w:sz="0" w:space="0" w:color="auto"/>
      </w:divBdr>
    </w:div>
    <w:div w:id="1621567329">
      <w:bodyDiv w:val="1"/>
      <w:marLeft w:val="0"/>
      <w:marRight w:val="0"/>
      <w:marTop w:val="0"/>
      <w:marBottom w:val="0"/>
      <w:divBdr>
        <w:top w:val="none" w:sz="0" w:space="0" w:color="auto"/>
        <w:left w:val="none" w:sz="0" w:space="0" w:color="auto"/>
        <w:bottom w:val="none" w:sz="0" w:space="0" w:color="auto"/>
        <w:right w:val="none" w:sz="0" w:space="0" w:color="auto"/>
      </w:divBdr>
    </w:div>
    <w:div w:id="1795755574">
      <w:bodyDiv w:val="1"/>
      <w:marLeft w:val="0"/>
      <w:marRight w:val="0"/>
      <w:marTop w:val="0"/>
      <w:marBottom w:val="0"/>
      <w:divBdr>
        <w:top w:val="none" w:sz="0" w:space="0" w:color="auto"/>
        <w:left w:val="none" w:sz="0" w:space="0" w:color="auto"/>
        <w:bottom w:val="none" w:sz="0" w:space="0" w:color="auto"/>
        <w:right w:val="none" w:sz="0" w:space="0" w:color="auto"/>
      </w:divBdr>
    </w:div>
    <w:div w:id="209940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Cannabinoi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wikipedia.org/wiki/Res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ewhaven.edu/student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UNHHealthPlan.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ugabuse.gov/drugs-abuse/mdma-ecstasymoll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rugabuse.gov/drugs-abuse/emerging-trends-alerts" TargetMode="External"/><Relationship Id="rId2" Type="http://schemas.openxmlformats.org/officeDocument/2006/relationships/hyperlink" Target="https://www.drugabuse.gov/drugs-abuse/emerging-trends-alerts" TargetMode="External"/><Relationship Id="rId1" Type="http://schemas.openxmlformats.org/officeDocument/2006/relationships/hyperlink" Target="http://www.drugabuse.gov/drugs-abuse/emerging-tr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d41be-20f1-4db1-8d52-7ca6a5bbe968">
      <Terms xmlns="http://schemas.microsoft.com/office/infopath/2007/PartnerControls"/>
    </lcf76f155ced4ddcb4097134ff3c332f>
    <TaxCatchAll xmlns="4303effc-e4a0-437b-806d-a4b73924020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921330D93FAC4A97CB03F7D2E731BB" ma:contentTypeVersion="12" ma:contentTypeDescription="Create a new document." ma:contentTypeScope="" ma:versionID="d9061ea6db05cd26013d0d9b8371fff6">
  <xsd:schema xmlns:xsd="http://www.w3.org/2001/XMLSchema" xmlns:xs="http://www.w3.org/2001/XMLSchema" xmlns:p="http://schemas.microsoft.com/office/2006/metadata/properties" xmlns:ns2="1e0d41be-20f1-4db1-8d52-7ca6a5bbe968" xmlns:ns3="4303effc-e4a0-437b-806d-a4b739240203" targetNamespace="http://schemas.microsoft.com/office/2006/metadata/properties" ma:root="true" ma:fieldsID="2bfa9d15d96521b5422616c259d2b79b" ns2:_="" ns3:_="">
    <xsd:import namespace="1e0d41be-20f1-4db1-8d52-7ca6a5bbe968"/>
    <xsd:import namespace="4303effc-e4a0-437b-806d-a4b7392402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d41be-20f1-4db1-8d52-7ca6a5bbe9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0f95bb7-1602-41b8-bb94-bba1d10ac9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03effc-e4a0-437b-806d-a4b7392402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1b22cc8-cdd3-4be4-bc7a-6de4354650aa}" ma:internalName="TaxCatchAll" ma:showField="CatchAllData" ma:web="4303effc-e4a0-437b-806d-a4b739240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092D5-0C1B-44AA-954B-5060ABD653ED}">
  <ds:schemaRefs>
    <ds:schemaRef ds:uri="http://schemas.microsoft.com/sharepoint/v3/contenttype/forms"/>
  </ds:schemaRefs>
</ds:datastoreItem>
</file>

<file path=customXml/itemProps2.xml><?xml version="1.0" encoding="utf-8"?>
<ds:datastoreItem xmlns:ds="http://schemas.openxmlformats.org/officeDocument/2006/customXml" ds:itemID="{79CCD478-7B34-4DE7-9B0A-BE38170E2C9C}">
  <ds:schemaRefs>
    <ds:schemaRef ds:uri="http://schemas.microsoft.com/office/2006/metadata/properties"/>
    <ds:schemaRef ds:uri="http://schemas.microsoft.com/office/infopath/2007/PartnerControls"/>
    <ds:schemaRef ds:uri="1e0d41be-20f1-4db1-8d52-7ca6a5bbe968"/>
    <ds:schemaRef ds:uri="4303effc-e4a0-437b-806d-a4b739240203"/>
  </ds:schemaRefs>
</ds:datastoreItem>
</file>

<file path=customXml/itemProps3.xml><?xml version="1.0" encoding="utf-8"?>
<ds:datastoreItem xmlns:ds="http://schemas.openxmlformats.org/officeDocument/2006/customXml" ds:itemID="{8458A238-62EC-43A6-93E5-1DE0B85E6FFC}">
  <ds:schemaRefs>
    <ds:schemaRef ds:uri="http://schemas.openxmlformats.org/officeDocument/2006/bibliography"/>
  </ds:schemaRefs>
</ds:datastoreItem>
</file>

<file path=customXml/itemProps4.xml><?xml version="1.0" encoding="utf-8"?>
<ds:datastoreItem xmlns:ds="http://schemas.openxmlformats.org/officeDocument/2006/customXml" ds:itemID="{8625C6BB-4072-4AA0-9EFB-384761336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d41be-20f1-4db1-8d52-7ca6a5bbe968"/>
    <ds:schemaRef ds:uri="4303effc-e4a0-437b-806d-a4b739240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9279</Words>
  <Characters>39253</Characters>
  <Application>Microsoft Office Word</Application>
  <DocSecurity>0</DocSecurity>
  <Lines>740</Lines>
  <Paragraphs>614</Paragraphs>
  <ScaleCrop>false</ScaleCrop>
  <HeadingPairs>
    <vt:vector size="2" baseType="variant">
      <vt:variant>
        <vt:lpstr>Title</vt:lpstr>
      </vt:variant>
      <vt:variant>
        <vt:i4>1</vt:i4>
      </vt:variant>
    </vt:vector>
  </HeadingPairs>
  <TitlesOfParts>
    <vt:vector size="1" baseType="lpstr">
      <vt:lpstr/>
    </vt:vector>
  </TitlesOfParts>
  <Company>UNH</Company>
  <LinksUpToDate>false</LinksUpToDate>
  <CharactersWithSpaces>47918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Rebecca</dc:creator>
  <cp:lastModifiedBy>Baker, Ric</cp:lastModifiedBy>
  <cp:revision>4</cp:revision>
  <cp:lastPrinted>2022-03-08T14:44:00Z</cp:lastPrinted>
  <dcterms:created xsi:type="dcterms:W3CDTF">2022-03-09T19:55:00Z</dcterms:created>
  <dcterms:modified xsi:type="dcterms:W3CDTF">2022-03-11T14:31:00Z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0x01010032921330D93FAC4A97CB03F7D2E731BB</vt:lpwstr>
  </property>
  <property fmtid="{D5CDD505-2E9C-101B-9397-08002B2CF9AE}" pid="3" name="MediaServiceImageTags">
    <vt:lpwstr/>
  </property>
</Properties>
</file>